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Advanced Engineering Architecture for Knowledge Graph Systems: Standards Compliance, Multimodal Ingestion, Fine-Grained Security, and Dynamic Reasoning Topologies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architectural foundation of text-based knowledge graph construction requires expanding classical extraction stacks into high-performance, enterprise-ready systems. While deterministic structural parsing, local encoder-based information extraction, entity resolution, and temporal graph modeling establish baseline capabilities</w:t>
      </w:r>
      <w:r w:rsidDel="00000000" w:rsidR="00000000" w:rsidRPr="00000000">
        <w:rPr>
          <w:rFonts w:ascii="Google Sans" w:cs="Google Sans" w:eastAsia="Google Sans" w:hAnsi="Google Sans"/>
          <w:color w:val="444746"/>
          <w:sz w:val="24"/>
          <w:szCs w:val="24"/>
          <w:vertAlign w:val="superscript"/>
          <w:rtl w:val="0"/>
        </w:rPr>
        <w:t xml:space="preserve">1</w:t>
      </w:r>
      <w:r w:rsidDel="00000000" w:rsidR="00000000" w:rsidRPr="00000000">
        <w:rPr>
          <w:rFonts w:ascii="Google Sans" w:cs="Google Sans" w:eastAsia="Google Sans" w:hAnsi="Google Sans"/>
          <w:color w:val="1f1f1f"/>
          <w:rtl w:val="0"/>
        </w:rPr>
        <w:t xml:space="preserve">, enterprise deployment demands rigorous alignment with emerging international database standards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visual document understanding pipelines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relationship-based security architectures</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and advanced agentic reasoning topologies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Addressing these foundational gaps transforms localized graph extraction tools into scalable, secure, and standardized graph intelligence engines. This research report presents an exhaustive technical analysis of five core dimensions missing from traditional textual knowledge graph specifications: ISO/IEC 39075 GQL query standardization</w:t>
      </w:r>
      <w:r w:rsidDel="00000000" w:rsidR="00000000" w:rsidRPr="00000000">
        <w:rPr>
          <w:rFonts w:ascii="Google Sans" w:cs="Google Sans" w:eastAsia="Google Sans" w:hAnsi="Google Sans"/>
          <w:color w:val="444746"/>
          <w:sz w:val="24"/>
          <w:szCs w:val="24"/>
          <w:vertAlign w:val="superscript"/>
          <w:rtl w:val="0"/>
        </w:rPr>
        <w:t xml:space="preserve">3</w:t>
      </w:r>
      <w:r w:rsidDel="00000000" w:rsidR="00000000" w:rsidRPr="00000000">
        <w:rPr>
          <w:rFonts w:ascii="Google Sans" w:cs="Google Sans" w:eastAsia="Google Sans" w:hAnsi="Google Sans"/>
          <w:color w:val="1f1f1f"/>
          <w:rtl w:val="0"/>
        </w:rPr>
        <w:t xml:space="preserve">, visual-native multimodal document ingestion</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enterprise Fine-Grained Access Control (FGAC)</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dynamic Graph-of-Thoughts (GoT) agent topologies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and high-performance graph database engine benchmarks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04">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 ISO/IEC 39075 GQL Standard and Query Paradigms</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 critical oversight in early-stage property graph architectures is the reliance on proprietary serialization formats or ad-hoc query scripts without adherence to international database standards</w:t>
      </w:r>
      <w:r w:rsidDel="00000000" w:rsidR="00000000" w:rsidRPr="00000000">
        <w:rPr>
          <w:rFonts w:ascii="Google Sans" w:cs="Google Sans" w:eastAsia="Google Sans" w:hAnsi="Google Sans"/>
          <w:color w:val="444746"/>
          <w:sz w:val="24"/>
          <w:szCs w:val="24"/>
          <w:vertAlign w:val="superscript"/>
          <w:rtl w:val="0"/>
        </w:rPr>
        <w:t xml:space="preserve">1</w:t>
      </w:r>
      <w:r w:rsidDel="00000000" w:rsidR="00000000" w:rsidRPr="00000000">
        <w:rPr>
          <w:rFonts w:ascii="Google Sans" w:cs="Google Sans" w:eastAsia="Google Sans" w:hAnsi="Google Sans"/>
          <w:color w:val="1f1f1f"/>
          <w:rtl w:val="0"/>
        </w:rPr>
        <w:t xml:space="preserve">. The publication of ISO/IEC 39075:2024 (Database Language GQL) on April 12, 2024, represents the first official ISO database query language standard established since SQL was introduced in 1987</w:t>
      </w:r>
      <w:r w:rsidDel="00000000" w:rsidR="00000000" w:rsidRPr="00000000">
        <w:rPr>
          <w:rFonts w:ascii="Google Sans" w:cs="Google Sans" w:eastAsia="Google Sans" w:hAnsi="Google Sans"/>
          <w:color w:val="444746"/>
          <w:sz w:val="24"/>
          <w:szCs w:val="24"/>
          <w:vertAlign w:val="superscript"/>
          <w:rtl w:val="0"/>
        </w:rPr>
        <w:t xml:space="preserve">3</w:t>
      </w:r>
      <w:r w:rsidDel="00000000" w:rsidR="00000000" w:rsidRPr="00000000">
        <w:rPr>
          <w:rFonts w:ascii="Google Sans" w:cs="Google Sans" w:eastAsia="Google Sans" w:hAnsi="Google Sans"/>
          <w:color w:val="1f1f1f"/>
          <w:rtl w:val="0"/>
        </w:rPr>
        <w:t xml:space="preserve">. Developed by ISO/IEC JTC 1/SC 32/WG 3—the same international committee governing SQL—GQL provides a formal, vendor-neutral declarative language designed explicitly for property graph databases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standard establishes declarative parity between property graph queries and traditional relational databases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While ISO/IEC 9075-16 (SQL/PGQ) integrates property graph pattern matching directly into relational SQL tables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ISO/IEC 39075 (GQL) operates as a standalone language tailored for graph data management</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Standardizing query surfaces around GQL ensures that context packs generated by knowledge graph engines can be seamlessly queried by automated language agents across disparate enterprise graph backends</w:t>
      </w:r>
      <w:r w:rsidDel="00000000" w:rsidR="00000000" w:rsidRPr="00000000">
        <w:rPr>
          <w:rFonts w:ascii="Google Sans" w:cs="Google Sans" w:eastAsia="Google Sans" w:hAnsi="Google Sans"/>
          <w:color w:val="444746"/>
          <w:sz w:val="24"/>
          <w:szCs w:val="24"/>
          <w:vertAlign w:val="superscript"/>
          <w:rtl w:val="0"/>
        </w:rPr>
        <w:t xml:space="preserve">14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07">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1.1 Structural Comparison: Property Graphs vs. Resource Description Framework</w:t>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Enterprise knowledge representation is divided between two primary graph data models: the Property Graph (PG) model and the Resource Description Framework (RDF) model</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Bridging or selecting between these models requires understanding their formal logical foundations, query languages, and programmatic operational trade-offs</w:t>
      </w:r>
      <w:r w:rsidDel="00000000" w:rsidR="00000000" w:rsidRPr="00000000">
        <w:rPr>
          <w:rFonts w:ascii="Google Sans" w:cs="Google Sans" w:eastAsia="Google Sans" w:hAnsi="Google Sans"/>
          <w:color w:val="444746"/>
          <w:sz w:val="24"/>
          <w:szCs w:val="24"/>
          <w:vertAlign w:val="superscript"/>
          <w:rtl w:val="0"/>
        </w:rPr>
        <w:t xml:space="preserve">14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1"/>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Attribute / Feature</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Property Graph (PG) Model (ISO/IEC 39075 GQL)</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Resource Description Framework (RDF) Model (W3C)</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Standardization Body</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ISO/IEC JTC 1 / SC 32 / WG 3</w:t>
            </w:r>
            <w:r w:rsidDel="00000000" w:rsidR="00000000" w:rsidRPr="00000000">
              <w:rPr>
                <w:rFonts w:ascii="Google Sans" w:cs="Google Sans" w:eastAsia="Google Sans" w:hAnsi="Google Sans"/>
                <w:color w:val="444746"/>
                <w:sz w:val="24"/>
                <w:szCs w:val="24"/>
                <w:vertAlign w:val="superscript"/>
                <w:rtl w:val="0"/>
              </w:rPr>
              <w:t xml:space="preserve">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World Wide Web Consortium (W3C)</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Primary Query Language</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GQL (ISO/IEC 39075), SQL/PGQ (ISO/IEC 9075-16)</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SPARQL Protocol and RDF Query Language</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Data Primitive</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Attributed Nodes &amp; Edges (Internal IDs, Labels, Properties)</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Subject-Predicate-Object Triples (IRIs, Literals)</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Logical World Assumption</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Closed-World Assumption (CWA)</w:t>
            </w:r>
            <w:r w:rsidDel="00000000" w:rsidR="00000000" w:rsidRPr="00000000">
              <w:rPr>
                <w:rFonts w:ascii="Google Sans" w:cs="Google Sans" w:eastAsia="Google Sans" w:hAnsi="Google Sans"/>
                <w:color w:val="444746"/>
                <w:sz w:val="24"/>
                <w:szCs w:val="24"/>
                <w:vertAlign w:val="superscript"/>
                <w:rtl w:val="0"/>
              </w:rPr>
              <w:t xml:space="preserve">17</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Open-World Assumption (OWA) with OWL reasoning</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Schema Paradigm</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Dual-Mode: Schema-Free or Fixed-Schema (Graph Type)</w:t>
            </w:r>
            <w:r w:rsidDel="00000000" w:rsidR="00000000" w:rsidRPr="00000000">
              <w:rPr>
                <w:rFonts w:ascii="Google Sans" w:cs="Google Sans" w:eastAsia="Google Sans" w:hAnsi="Google Sans"/>
                <w:color w:val="444746"/>
                <w:sz w:val="24"/>
                <w:szCs w:val="24"/>
                <w:vertAlign w:val="superscript"/>
                <w:rtl w:val="0"/>
              </w:rPr>
              <w:t xml:space="preserve">15</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Schema-Optional: RDFS / SHACL / OWL Ontologies</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Edge Attribution</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First-class native properties on edges (key: value)</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Requires RDF-star (</w:t>
            </w:r>
            <w:r w:rsidDel="00000000" w:rsidR="00000000" w:rsidRPr="00000000">
              <w:rPr>
                <w:rFonts w:ascii="Google Sans" w:cs="Google Sans" w:eastAsia="Google Sans" w:hAnsi="Google Sans"/>
                <w:color w:val="1f1f1f"/>
              </w:rPr>
              <w:drawing>
                <wp:inline distB="19050" distT="19050" distL="19050" distR="19050">
                  <wp:extent cx="549341" cy="253542"/>
                  <wp:effectExtent b="0" l="0" r="0" t="0"/>
                  <wp:docPr id="11"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549341" cy="25354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or explicit reification [cite: 5, 9.1]</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Pattern Matching Logic</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Visual Path Pattern Matching (MATCH (p)-[r]-&gt;(q))</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Graph Pattern Matching via Triple Patterns</w:t>
            </w:r>
            <w:r w:rsidDel="00000000" w:rsidR="00000000" w:rsidRPr="00000000">
              <w:rPr>
                <w:rFonts w:ascii="Google Sans" w:cs="Google Sans" w:eastAsia="Google Sans" w:hAnsi="Google Sans"/>
                <w:color w:val="444746"/>
                <w:sz w:val="24"/>
                <w:szCs w:val="24"/>
                <w:vertAlign w:val="superscript"/>
                <w:rtl w:val="0"/>
              </w:rPr>
              <w:t xml:space="preserve">17</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Agent Interoperability</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Compact JSON-LD / GQL-native response frames</w:t>
            </w:r>
            <w:r w:rsidDel="00000000" w:rsidR="00000000" w:rsidRPr="00000000">
              <w:rPr>
                <w:rFonts w:ascii="Google Sans" w:cs="Google Sans" w:eastAsia="Google Sans" w:hAnsi="Google Sans"/>
                <w:color w:val="444746"/>
                <w:sz w:val="24"/>
                <w:szCs w:val="24"/>
                <w:vertAlign w:val="superscript"/>
                <w:rtl w:val="0"/>
              </w:rPr>
              <w:t xml:space="preserve">14</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Verbose RDF/XML, Turtle, or N-Triples serializations</w:t>
            </w:r>
            <w:r w:rsidDel="00000000" w:rsidR="00000000" w:rsidRPr="00000000">
              <w:rPr>
                <w:rFonts w:ascii="Google Sans" w:cs="Google Sans" w:eastAsia="Google Sans" w:hAnsi="Google Sans"/>
                <w:color w:val="444746"/>
                <w:sz w:val="24"/>
                <w:szCs w:val="24"/>
                <w:vertAlign w:val="superscript"/>
                <w:rtl w:val="0"/>
              </w:rPr>
              <w:t xml:space="preserve">17</w:t>
            </w:r>
          </w:p>
        </w:tc>
      </w:tr>
    </w:tbl>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Property Graph model structures domain knowledge into nodes and edges, both of which natively support arbitrary key-value properties and multi-label classifications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Conversely, traditional RDF relies on atomic subject-predicate-object triples, where attributing metadata (e.g., confidence scores, byte offsets, temporal validity) to a statement requires formal reification or </w:t>
      </w:r>
      <w:r w:rsidDel="00000000" w:rsidR="00000000" w:rsidRPr="00000000">
        <w:rPr>
          <w:rFonts w:ascii="Google Sans" w:cs="Google Sans" w:eastAsia="Google Sans" w:hAnsi="Google Sans"/>
          <w:color w:val="1f1f1f"/>
        </w:rPr>
        <w:drawing>
          <wp:inline distB="19050" distT="19050" distL="19050" distR="19050">
            <wp:extent cx="549341" cy="253542"/>
            <wp:effectExtent b="0" l="0" r="0" t="0"/>
            <wp:docPr id="13"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549341" cy="25354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extensions, expanding storage overhead and traversal complexity [cite: 5, 9.1].</w:t>
      </w:r>
    </w:p>
    <w:p w:rsidR="00000000" w:rsidDel="00000000" w:rsidP="00000000" w:rsidRDefault="00000000" w:rsidRPr="00000000" w14:paraId="00000026">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1.2 GQL Syntax and Execution Primitives</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GQL incorporates declarative pattern matching syntax shared with SQL/PGQ, allowing property graph queries to be embedded inside existing relational infrastructure or executed natively on dedicated graph engines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The language supports transactional mutations, explicit schema definitions, and complex path traversals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Quantified Path Patterns (QPP) enable dynamic hop-range traversals over bounded or unbounded paths</w:t>
      </w:r>
      <w:r w:rsidDel="00000000" w:rsidR="00000000" w:rsidRPr="00000000">
        <w:rPr>
          <w:rFonts w:ascii="Google Sans" w:cs="Google Sans" w:eastAsia="Google Sans" w:hAnsi="Google Sans"/>
          <w:color w:val="444746"/>
          <w:sz w:val="24"/>
          <w:szCs w:val="24"/>
          <w:vertAlign w:val="superscript"/>
          <w:rtl w:val="0"/>
        </w:rPr>
        <w:t xml:space="preserve">15</w:t>
      </w:r>
      <w:r w:rsidDel="00000000" w:rsidR="00000000" w:rsidRPr="00000000">
        <w:rPr>
          <w:rFonts w:ascii="Google Sans" w:cs="Google Sans" w:eastAsia="Google Sans" w:hAnsi="Google Sans"/>
          <w:color w:val="1f1f1f"/>
          <w:rtl w:val="0"/>
        </w:rPr>
        <w:t xml:space="preserve">. For instance, retrieving connected entity networks within a multi-hop distance is expressed via visual path syntax:</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before="390" w:line="275.9999942779541" w:lineRule="auto"/>
        <w:ind w:left="480"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line="275.9999942779541" w:lineRule="auto"/>
        <w:ind w:left="480" w:right="165"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line="275.9999942779541" w:lineRule="auto"/>
        <w:ind w:left="480" w:right="165" w:firstLine="0"/>
        <w:rPr>
          <w:rFonts w:ascii="Google Sans" w:cs="Google Sans" w:eastAsia="Google Sans" w:hAnsi="Google Sans"/>
          <w:color w:val="ffffff"/>
          <w:shd w:fill="141414" w:val="clear"/>
        </w:rPr>
      </w:pPr>
      <w:r w:rsidDel="00000000" w:rsidR="00000000" w:rsidRPr="00000000">
        <w:rPr>
          <w:rFonts w:ascii="Google Sans" w:cs="Google Sans" w:eastAsia="Google Sans" w:hAnsi="Google Sans"/>
          <w:color w:val="ffffff"/>
          <w:shd w:fill="141414" w:val="clear"/>
          <w:rtl w:val="0"/>
        </w:rPr>
        <w:t xml:space="preserve">SQL</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shd w:fill="141414" w:val="clear"/>
        </w:rPr>
      </w:pPr>
      <w:r w:rsidDel="00000000" w:rsidR="00000000" w:rsidRPr="00000000">
        <w:rPr>
          <w:rFonts w:ascii="Google Sans" w:cs="Google Sans" w:eastAsia="Google Sans" w:hAnsi="Google Sans"/>
          <w:i w:val="0"/>
          <w:iCs w:val="0"/>
          <w:color w:val="969dff"/>
          <w:sz w:val="20"/>
          <w:szCs w:val="20"/>
          <w:shd w:fill="141414" w:val="clear"/>
          <w:rtl w:val="0"/>
        </w:rPr>
        <w:t xml:space="preserve">MATCH</w:t>
      </w:r>
      <w:r w:rsidDel="00000000" w:rsidR="00000000" w:rsidRPr="00000000">
        <w:rPr>
          <w:rFonts w:ascii="Google Sans" w:cs="Google Sans" w:eastAsia="Google Sans" w:hAnsi="Google Sans"/>
          <w:color w:val="1f1f1f"/>
          <w:shd w:fill="141414" w:val="clear"/>
          <w:rtl w:val="0"/>
        </w:rPr>
        <w:t xml:space="preserve"> (src:Person {id: </w:t>
      </w:r>
      <w:r w:rsidDel="00000000" w:rsidR="00000000" w:rsidRPr="00000000">
        <w:rPr>
          <w:rFonts w:ascii="Google Sans" w:cs="Google Sans" w:eastAsia="Google Sans" w:hAnsi="Google Sans"/>
          <w:i w:val="0"/>
          <w:iCs w:val="0"/>
          <w:color w:val="60d673"/>
          <w:sz w:val="20"/>
          <w:szCs w:val="20"/>
          <w:shd w:fill="141414" w:val="clear"/>
          <w:rtl w:val="0"/>
        </w:rPr>
        <w:t xml:space="preserve">'usr_102'</w:t>
      </w:r>
      <w:r w:rsidDel="00000000" w:rsidR="00000000" w:rsidRPr="00000000">
        <w:rPr>
          <w:rFonts w:ascii="Google Sans" w:cs="Google Sans" w:eastAsia="Google Sans" w:hAnsi="Google Sans"/>
          <w:color w:val="1f1f1f"/>
          <w:shd w:fill="141414" w:val="clear"/>
          <w:rtl w:val="0"/>
        </w:rPr>
        <w:t xml:space="preserve">})</w:t>
      </w:r>
      <w:r w:rsidDel="00000000" w:rsidR="00000000" w:rsidRPr="00000000">
        <w:rPr>
          <w:rFonts w:ascii="Google Sans" w:cs="Google Sans" w:eastAsia="Google Sans" w:hAnsi="Google Sans"/>
          <w:i w:val="0"/>
          <w:iCs w:val="0"/>
          <w:color w:val="ffffff"/>
          <w:sz w:val="20"/>
          <w:szCs w:val="20"/>
          <w:shd w:fill="141414" w:val="clear"/>
          <w:rtl w:val="0"/>
        </w:rPr>
        <w:t xml:space="preserve">-</w:t>
      </w:r>
      <w:r w:rsidDel="00000000" w:rsidR="00000000" w:rsidRPr="00000000">
        <w:rPr>
          <w:rFonts w:ascii="Google Sans" w:cs="Google Sans" w:eastAsia="Google Sans" w:hAnsi="Google Sans"/>
          <w:color w:val="1f1f1f"/>
          <w:shd w:fill="141414" w:val="clear"/>
          <w:rtl w:val="0"/>
        </w:rPr>
        <w:t xml:space="preserve">[e:KNOWS</w:t>
      </w:r>
      <w:r w:rsidDel="00000000" w:rsidR="00000000" w:rsidRPr="00000000">
        <w:rPr>
          <w:rFonts w:ascii="Google Sans" w:cs="Google Sans" w:eastAsia="Google Sans" w:hAnsi="Google Sans"/>
          <w:i w:val="0"/>
          <w:iCs w:val="0"/>
          <w:color w:val="ffffff"/>
          <w:sz w:val="20"/>
          <w:szCs w:val="20"/>
          <w:shd w:fill="141414" w:val="clear"/>
          <w:rtl w:val="0"/>
        </w:rPr>
        <w:t xml:space="preserve">|</w:t>
      </w:r>
      <w:r w:rsidDel="00000000" w:rsidR="00000000" w:rsidRPr="00000000">
        <w:rPr>
          <w:rFonts w:ascii="Google Sans" w:cs="Google Sans" w:eastAsia="Google Sans" w:hAnsi="Google Sans"/>
          <w:color w:val="1f1f1f"/>
          <w:shd w:fill="141414" w:val="clear"/>
          <w:rtl w:val="0"/>
        </w:rPr>
        <w:t xml:space="preserve">WORKS_WITH]</w:t>
      </w:r>
      <w:r w:rsidDel="00000000" w:rsidR="00000000" w:rsidRPr="00000000">
        <w:rPr>
          <w:rFonts w:ascii="Google Sans" w:cs="Google Sans" w:eastAsia="Google Sans" w:hAnsi="Google Sans"/>
          <w:i w:val="0"/>
          <w:iCs w:val="0"/>
          <w:color w:val="ffffff"/>
          <w:sz w:val="20"/>
          <w:szCs w:val="20"/>
          <w:shd w:fill="141414" w:val="clear"/>
          <w:rtl w:val="0"/>
        </w:rPr>
        <w:t xml:space="preserve">-&gt;</w:t>
      </w:r>
      <w:r w:rsidDel="00000000" w:rsidR="00000000" w:rsidRPr="00000000">
        <w:rPr>
          <w:rFonts w:ascii="Google Sans" w:cs="Google Sans" w:eastAsia="Google Sans" w:hAnsi="Google Sans"/>
          <w:color w:val="1f1f1f"/>
          <w:shd w:fill="141414" w:val="clear"/>
          <w:rtl w:val="0"/>
        </w:rPr>
        <w:t xml:space="preserve">{</w:t>
      </w:r>
      <w:r w:rsidDel="00000000" w:rsidR="00000000" w:rsidRPr="00000000">
        <w:rPr>
          <w:rFonts w:ascii="Google Sans" w:cs="Google Sans" w:eastAsia="Google Sans" w:hAnsi="Google Sans"/>
          <w:i w:val="0"/>
          <w:iCs w:val="0"/>
          <w:color w:val="ff96da"/>
          <w:sz w:val="20"/>
          <w:szCs w:val="20"/>
          <w:shd w:fill="141414" w:val="clear"/>
          <w:rtl w:val="0"/>
        </w:rPr>
        <w:t xml:space="preserve">1</w:t>
      </w:r>
      <w:r w:rsidDel="00000000" w:rsidR="00000000" w:rsidRPr="00000000">
        <w:rPr>
          <w:rFonts w:ascii="Google Sans" w:cs="Google Sans" w:eastAsia="Google Sans" w:hAnsi="Google Sans"/>
          <w:color w:val="1f1f1f"/>
          <w:shd w:fill="141414" w:val="clear"/>
          <w:rtl w:val="0"/>
        </w:rPr>
        <w:t xml:space="preserve">,</w:t>
      </w:r>
      <w:r w:rsidDel="00000000" w:rsidR="00000000" w:rsidRPr="00000000">
        <w:rPr>
          <w:rFonts w:ascii="Google Sans" w:cs="Google Sans" w:eastAsia="Google Sans" w:hAnsi="Google Sans"/>
          <w:i w:val="0"/>
          <w:iCs w:val="0"/>
          <w:color w:val="ff96da"/>
          <w:sz w:val="20"/>
          <w:szCs w:val="20"/>
          <w:shd w:fill="141414" w:val="clear"/>
          <w:rtl w:val="0"/>
        </w:rPr>
        <w:t xml:space="preserve">5</w:t>
      </w:r>
      <w:r w:rsidDel="00000000" w:rsidR="00000000" w:rsidRPr="00000000">
        <w:rPr>
          <w:rFonts w:ascii="Google Sans" w:cs="Google Sans" w:eastAsia="Google Sans" w:hAnsi="Google Sans"/>
          <w:color w:val="1f1f1f"/>
          <w:shd w:fill="141414" w:val="clear"/>
          <w:rtl w:val="0"/>
        </w:rPr>
        <w:t xml:space="preserve">} (dst:Person)</w:t>
        <w:br w:type="textWrapping"/>
      </w:r>
      <w:r w:rsidDel="00000000" w:rsidR="00000000" w:rsidRPr="00000000">
        <w:rPr>
          <w:rFonts w:ascii="Google Sans" w:cs="Google Sans" w:eastAsia="Google Sans" w:hAnsi="Google Sans"/>
          <w:i w:val="0"/>
          <w:iCs w:val="0"/>
          <w:color w:val="969dff"/>
          <w:sz w:val="20"/>
          <w:szCs w:val="20"/>
          <w:shd w:fill="141414" w:val="clear"/>
          <w:rtl w:val="0"/>
        </w:rPr>
        <w:t xml:space="preserve">RETURN</w:t>
      </w:r>
      <w:r w:rsidDel="00000000" w:rsidR="00000000" w:rsidRPr="00000000">
        <w:rPr>
          <w:rFonts w:ascii="Google Sans" w:cs="Google Sans" w:eastAsia="Google Sans" w:hAnsi="Google Sans"/>
          <w:color w:val="1f1f1f"/>
          <w:shd w:fill="141414" w:val="clear"/>
          <w:rtl w:val="0"/>
        </w:rPr>
        <w:t xml:space="preserve"> src.name, dst.name, PATH_LENGTH(path) </w:t>
      </w:r>
      <w:r w:rsidDel="00000000" w:rsidR="00000000" w:rsidRPr="00000000">
        <w:rPr>
          <w:rFonts w:ascii="Google Sans" w:cs="Google Sans" w:eastAsia="Google Sans" w:hAnsi="Google Sans"/>
          <w:i w:val="0"/>
          <w:iCs w:val="0"/>
          <w:color w:val="969dff"/>
          <w:sz w:val="20"/>
          <w:szCs w:val="20"/>
          <w:shd w:fill="141414" w:val="clear"/>
          <w:rtl w:val="0"/>
        </w:rPr>
        <w:t xml:space="preserve">AS</w:t>
      </w:r>
      <w:r w:rsidDel="00000000" w:rsidR="00000000" w:rsidRPr="00000000">
        <w:rPr>
          <w:rFonts w:ascii="Google Sans" w:cs="Google Sans" w:eastAsia="Google Sans" w:hAnsi="Google Sans"/>
          <w:color w:val="1f1f1f"/>
          <w:shd w:fill="141414" w:val="clear"/>
          <w:rtl w:val="0"/>
        </w:rPr>
        <w:t xml:space="preserve"> distance</w:t>
        <w:br w:type="textWrapping"/>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Data manipulation in GQL supports explicit transactional semantics (START TRANSACTION, COMMIT, ROLLBACK) alongside atomic insertion, property modification, and node detachment</w:t>
      </w:r>
      <w:r w:rsidDel="00000000" w:rsidR="00000000" w:rsidRPr="00000000">
        <w:rPr>
          <w:rFonts w:ascii="Google Sans" w:cs="Google Sans" w:eastAsia="Google Sans" w:hAnsi="Google Sans"/>
          <w:color w:val="444746"/>
          <w:sz w:val="24"/>
          <w:szCs w:val="24"/>
          <w:vertAlign w:val="superscript"/>
          <w:rtl w:val="0"/>
        </w:rPr>
        <w:t xml:space="preserve">15</w:t>
      </w:r>
      <w:r w:rsidDel="00000000" w:rsidR="00000000" w:rsidRPr="00000000">
        <w:rPr>
          <w:rFonts w:ascii="Google Sans" w:cs="Google Sans" w:eastAsia="Google Sans" w:hAnsi="Google Sans"/>
          <w:color w:val="1f1f1f"/>
          <w:rtl w:val="0"/>
        </w:rPr>
        <w:t xml:space="preserve">. Furthermore, GQL supports both schema-free operational modes and strict Graph Type definitions that enforce type safety across enterprise graphs</w:t>
      </w:r>
      <w:r w:rsidDel="00000000" w:rsidR="00000000" w:rsidRPr="00000000">
        <w:rPr>
          <w:rFonts w:ascii="Google Sans" w:cs="Google Sans" w:eastAsia="Google Sans" w:hAnsi="Google Sans"/>
          <w:color w:val="444746"/>
          <w:sz w:val="24"/>
          <w:szCs w:val="24"/>
          <w:vertAlign w:val="superscript"/>
          <w:rtl w:val="0"/>
        </w:rPr>
        <w:t xml:space="preserve">15</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before="390" w:line="275.9999942779541" w:lineRule="auto"/>
        <w:ind w:left="480"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line="275.9999942779541" w:lineRule="auto"/>
        <w:ind w:left="480" w:right="165" w:firstLine="0"/>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line="275.9999942779541" w:lineRule="auto"/>
        <w:ind w:left="480" w:right="165" w:firstLine="0"/>
        <w:rPr>
          <w:rFonts w:ascii="Google Sans" w:cs="Google Sans" w:eastAsia="Google Sans" w:hAnsi="Google Sans"/>
          <w:color w:val="ffffff"/>
          <w:shd w:fill="141414" w:val="clear"/>
        </w:rPr>
      </w:pPr>
      <w:r w:rsidDel="00000000" w:rsidR="00000000" w:rsidRPr="00000000">
        <w:rPr>
          <w:rFonts w:ascii="Google Sans" w:cs="Google Sans" w:eastAsia="Google Sans" w:hAnsi="Google Sans"/>
          <w:color w:val="ffffff"/>
          <w:shd w:fill="141414" w:val="clear"/>
          <w:rtl w:val="0"/>
        </w:rPr>
        <w:t xml:space="preserve">SQL</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shd w:fill="141414" w:val="clear"/>
        </w:rPr>
      </w:pPr>
      <w:r w:rsidDel="00000000" w:rsidR="00000000" w:rsidRPr="00000000">
        <w:rPr>
          <w:rFonts w:ascii="Google Sans" w:cs="Google Sans" w:eastAsia="Google Sans" w:hAnsi="Google Sans"/>
          <w:i w:val="0"/>
          <w:iCs w:val="0"/>
          <w:color w:val="969dff"/>
          <w:sz w:val="20"/>
          <w:szCs w:val="20"/>
          <w:shd w:fill="141414" w:val="clear"/>
          <w:rtl w:val="0"/>
        </w:rPr>
        <w:t xml:space="preserve">CREATE</w:t>
      </w:r>
      <w:r w:rsidDel="00000000" w:rsidR="00000000" w:rsidRPr="00000000">
        <w:rPr>
          <w:rFonts w:ascii="Google Sans" w:cs="Google Sans" w:eastAsia="Google Sans" w:hAnsi="Google Sans"/>
          <w:color w:val="1f1f1f"/>
          <w:shd w:fill="141414" w:val="clear"/>
          <w:rtl w:val="0"/>
        </w:rPr>
        <w:t xml:space="preserve"> GRAPH TYPE CompanySchemaType </w:t>
      </w:r>
      <w:r w:rsidDel="00000000" w:rsidR="00000000" w:rsidRPr="00000000">
        <w:rPr>
          <w:rFonts w:ascii="Google Sans" w:cs="Google Sans" w:eastAsia="Google Sans" w:hAnsi="Google Sans"/>
          <w:i w:val="0"/>
          <w:iCs w:val="0"/>
          <w:color w:val="969dff"/>
          <w:sz w:val="20"/>
          <w:szCs w:val="20"/>
          <w:shd w:fill="141414" w:val="clear"/>
          <w:rtl w:val="0"/>
        </w:rPr>
        <w:t xml:space="preserve">AS</w:t>
      </w:r>
      <w:r w:rsidDel="00000000" w:rsidR="00000000" w:rsidRPr="00000000">
        <w:rPr>
          <w:rFonts w:ascii="Google Sans" w:cs="Google Sans" w:eastAsia="Google Sans" w:hAnsi="Google Sans"/>
          <w:color w:val="1f1f1f"/>
          <w:shd w:fill="141414" w:val="clear"/>
          <w:rtl w:val="0"/>
        </w:rPr>
        <w:t xml:space="preserve"> {</w:t>
        <w:br w:type="textWrapping"/>
        <w:t xml:space="preserve">  NODE Person {name STRING, birthday STRING},</w:t>
        <w:br w:type="textWrapping"/>
        <w:t xml:space="preserve">  NODE Company {name STRING, id </w:t>
      </w:r>
      <w:r w:rsidDel="00000000" w:rsidR="00000000" w:rsidRPr="00000000">
        <w:rPr>
          <w:rFonts w:ascii="Google Sans" w:cs="Google Sans" w:eastAsia="Google Sans" w:hAnsi="Google Sans"/>
          <w:i w:val="0"/>
          <w:iCs w:val="0"/>
          <w:color w:val="969dff"/>
          <w:sz w:val="20"/>
          <w:szCs w:val="20"/>
          <w:shd w:fill="141414" w:val="clear"/>
          <w:rtl w:val="0"/>
        </w:rPr>
        <w:t xml:space="preserve">INT</w:t>
      </w:r>
      <w:r w:rsidDel="00000000" w:rsidR="00000000" w:rsidRPr="00000000">
        <w:rPr>
          <w:rFonts w:ascii="Google Sans" w:cs="Google Sans" w:eastAsia="Google Sans" w:hAnsi="Google Sans"/>
          <w:color w:val="1f1f1f"/>
          <w:shd w:fill="141414" w:val="clear"/>
          <w:rtl w:val="0"/>
        </w:rPr>
        <w:t xml:space="preserve">},</w:t>
        <w:br w:type="textWrapping"/>
        <w:t xml:space="preserve">  EDGE WORKS_FOR {since STRING} CONNECTS (Person </w:t>
      </w:r>
      <w:r w:rsidDel="00000000" w:rsidR="00000000" w:rsidRPr="00000000">
        <w:rPr>
          <w:rFonts w:ascii="Google Sans" w:cs="Google Sans" w:eastAsia="Google Sans" w:hAnsi="Google Sans"/>
          <w:i w:val="0"/>
          <w:iCs w:val="0"/>
          <w:color w:val="969dff"/>
          <w:sz w:val="20"/>
          <w:szCs w:val="20"/>
          <w:shd w:fill="141414" w:val="clear"/>
          <w:rtl w:val="0"/>
        </w:rPr>
        <w:t xml:space="preserve">TO</w:t>
      </w:r>
      <w:r w:rsidDel="00000000" w:rsidR="00000000" w:rsidRPr="00000000">
        <w:rPr>
          <w:rFonts w:ascii="Google Sans" w:cs="Google Sans" w:eastAsia="Google Sans" w:hAnsi="Google Sans"/>
          <w:color w:val="1f1f1f"/>
          <w:shd w:fill="141414" w:val="clear"/>
          <w:rtl w:val="0"/>
        </w:rPr>
        <w:t xml:space="preserve"> Company)</w:t>
        <w:br w:type="textWrapping"/>
        <w:t xml:space="preserve">}</w:t>
        <w:br w:type="textWrapping"/>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Implementing an ISO/IEC 39075-compliant translation layer guarantees that generated property graphs can be interrogated by standardized agent tools across diverse backend database engines without software lock-in</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35">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 Vision-Native Document Ingestion and Multimodal Graph Construction</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Classical text extraction architectures suffer from information loss when processing visually complex documents such as financial filings, scientific literature, technical manuals, and slide decks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Relying strictly on optical character recognition (OCR) engines and layout parsers frequently fails to capture two-dimensional spatial layout context, multi-column reading orders, embedded charts, vector diagrams, and complex tabular structures</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eliminate structural degradation during document ingestion, knowledge graph architectures must incorporate vision-native retrievers that operate directly on rendered document page images without requiring intermediary text serialization</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3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2.1 Late-Interaction Visual Retrievers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Vision-language retrieval models replace traditional OCR text chunking with late-interaction mechanisms built on Vision-Language Models (VLMs)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Models such as ColPali, ColQwen2, and ColFlor process whole page images through vision encoders (e.g., SigLIP, Qwen2-VL, DaViT) and project the visual tokens into multi-vector representations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2"/>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Model Variant</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Base Backbone Architecture</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Parameter Count</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Relative Inference Throughput</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Primary Architectural Trade-off</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ColPali</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PaliGemma-3B (SigLIP-So400m/14 + Gemma-2B)</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~2.92 Billion</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Baseline (</w:t>
            </w:r>
            <w:r w:rsidDel="00000000" w:rsidR="00000000" w:rsidRPr="00000000">
              <w:rPr>
                <w:rFonts w:ascii="Google Sans" w:cs="Google Sans" w:eastAsia="Google Sans" w:hAnsi="Google Sans"/>
                <w:color w:val="1f1f1f"/>
              </w:rPr>
              <w:drawing>
                <wp:inline distB="19050" distT="19050" distL="19050" distR="19050">
                  <wp:extent cx="355534" cy="204701"/>
                  <wp:effectExtent b="0" l="0" r="0" t="0"/>
                  <wp:docPr id="12" name="image28.png"/>
                  <a:graphic>
                    <a:graphicData uri="http://schemas.openxmlformats.org/drawingml/2006/picture">
                      <pic:pic>
                        <pic:nvPicPr>
                          <pic:cNvPr id="0" name="image28.png"/>
                          <pic:cNvPicPr preferRelativeResize="0"/>
                        </pic:nvPicPr>
                        <pic:blipFill>
                          <a:blip r:embed="rId7"/>
                          <a:srcRect b="0" l="0" r="0" t="0"/>
                          <a:stretch>
                            <a:fillRect/>
                          </a:stretch>
                        </pic:blipFill>
                        <pic:spPr>
                          <a:xfrm>
                            <a:off x="0" y="0"/>
                            <a:ext cx="355534" cy="204701"/>
                          </a:xfrm>
                          <a:prstGeom prst="rect"/>
                          <a:ln/>
                        </pic:spPr>
                      </pic:pic>
                    </a:graphicData>
                  </a:graphic>
                </wp:inline>
              </w:drawing>
            </w:r>
            <w:r w:rsidDel="00000000" w:rsidR="00000000" w:rsidRPr="00000000">
              <w:rPr>
                <w:rFonts w:ascii="Google Sans" w:cs="Google Sans" w:eastAsia="Google Sans" w:hAnsi="Google Sans"/>
                <w:color w:val="1f1f1f"/>
                <w:rtl w:val="0"/>
              </w:rPr>
              <w:t xml:space="preserve">)</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SOTA visual retrieval precision; high memory/storage footprint (</w:t>
            </w:r>
            <w:r w:rsidDel="00000000" w:rsidR="00000000" w:rsidRPr="00000000">
              <w:rPr>
                <w:rFonts w:ascii="Google Sans" w:cs="Google Sans" w:eastAsia="Google Sans" w:hAnsi="Google Sans"/>
                <w:color w:val="1f1f1f"/>
              </w:rPr>
              <w:drawing>
                <wp:inline distB="19050" distT="19050" distL="19050" distR="19050">
                  <wp:extent cx="816405" cy="201451"/>
                  <wp:effectExtent b="0" l="0" r="0" t="0"/>
                  <wp:docPr id="15"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816405" cy="201451"/>
                          </a:xfrm>
                          <a:prstGeom prst="rect"/>
                          <a:ln/>
                        </pic:spPr>
                      </pic:pic>
                    </a:graphicData>
                  </a:graphic>
                </wp:inline>
              </w:drawing>
            </w:r>
            <w:r w:rsidDel="00000000" w:rsidR="00000000" w:rsidRPr="00000000">
              <w:rPr>
                <w:rFonts w:ascii="Google Sans" w:cs="Google Sans" w:eastAsia="Google Sans" w:hAnsi="Google Sans"/>
                <w:color w:val="1f1f1f"/>
                <w:rtl w:val="0"/>
              </w:rPr>
              <w:t xml:space="preserve">-dim vectors/page)</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ColQwen2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Qwen2-VL-2B + Modular Adapters</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~2.00 Billion</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355534" cy="204701"/>
                  <wp:effectExtent b="0" l="0" r="0" t="0"/>
                  <wp:docPr id="14"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355534" cy="204701"/>
                          </a:xfrm>
                          <a:prstGeom prst="rect"/>
                          <a:ln/>
                        </pic:spPr>
                      </pic:pic>
                    </a:graphicData>
                  </a:graphic>
                </wp:inline>
              </w:drawing>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Superior native multi-page and multilingual vision-language alignment</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ColFlor</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Florence-2 DaViT Vision + BART Text Encoder</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~174 Million</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355534" cy="204701"/>
                  <wp:effectExtent b="0" l="0" r="0" t="0"/>
                  <wp:docPr id="1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355534" cy="204701"/>
                          </a:xfrm>
                          <a:prstGeom prst="rect"/>
                          <a:ln/>
                        </pic:spPr>
                      </pic:pic>
                    </a:graphicData>
                  </a:graphic>
                </wp:inline>
              </w:drawing>
            </w:r>
            <w:r w:rsidDel="00000000" w:rsidR="00000000" w:rsidRPr="00000000">
              <w:rPr>
                <w:rFonts w:ascii="Google Sans" w:cs="Google Sans" w:eastAsia="Google Sans" w:hAnsi="Google Sans"/>
                <w:color w:val="1f1f1f"/>
                <w:rtl w:val="0"/>
              </w:rPr>
              <w:t xml:space="preserve"> Query / </w:t>
            </w:r>
            <w:r w:rsidDel="00000000" w:rsidR="00000000" w:rsidRPr="00000000">
              <w:rPr>
                <w:rFonts w:ascii="Google Sans" w:cs="Google Sans" w:eastAsia="Google Sans" w:hAnsi="Google Sans"/>
                <w:color w:val="1f1f1f"/>
              </w:rPr>
              <w:drawing>
                <wp:inline distB="19050" distT="19050" distL="19050" distR="19050">
                  <wp:extent cx="442020" cy="204839"/>
                  <wp:effectExtent b="0" l="0" r="0" t="0"/>
                  <wp:docPr id="16"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442020" cy="204839"/>
                          </a:xfrm>
                          <a:prstGeom prst="rect"/>
                          <a:ln/>
                        </pic:spPr>
                      </pic:pic>
                    </a:graphicData>
                  </a:graphic>
                </wp:inline>
              </w:drawing>
            </w:r>
            <w:r w:rsidDel="00000000" w:rsidR="00000000" w:rsidRPr="00000000">
              <w:rPr>
                <w:rFonts w:ascii="Google Sans" w:cs="Google Sans" w:eastAsia="Google Sans" w:hAnsi="Google Sans"/>
                <w:color w:val="1f1f1f"/>
                <w:rtl w:val="0"/>
              </w:rPr>
              <w:t xml:space="preserve"> Doc</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Ultra-fast throughput; slight performance drop (~1.8%) on complex visual detail</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w:t>
            </w:r>
          </w:p>
        </w:tc>
      </w:tr>
    </w:tbl>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mathematical matching score between a textual query </w:t>
      </w:r>
      <w:r w:rsidDel="00000000" w:rsidR="00000000" w:rsidRPr="00000000">
        <w:rPr>
          <w:rFonts w:ascii="Google Sans" w:cs="Google Sans" w:eastAsia="Google Sans" w:hAnsi="Google Sans"/>
          <w:color w:val="1f1f1f"/>
        </w:rPr>
        <w:drawing>
          <wp:inline distB="19050" distT="19050" distL="19050" distR="19050">
            <wp:extent cx="94423" cy="283269"/>
            <wp:effectExtent b="0" l="0" r="0" t="0"/>
            <wp:docPr id="21"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94423" cy="283269"/>
                    </a:xfrm>
                    <a:prstGeom prst="rect"/>
                    <a:ln/>
                  </pic:spPr>
                </pic:pic>
              </a:graphicData>
            </a:graphic>
          </wp:inline>
        </w:drawing>
      </w:r>
      <w:r w:rsidDel="00000000" w:rsidR="00000000" w:rsidRPr="00000000">
        <w:rPr>
          <w:rFonts w:ascii="Google Sans" w:cs="Google Sans" w:eastAsia="Google Sans" w:hAnsi="Google Sans"/>
          <w:color w:val="1f1f1f"/>
          <w:rtl w:val="0"/>
        </w:rPr>
        <w:t xml:space="preserve"> and a visual document page image </w:t>
      </w:r>
      <w:r w:rsidDel="00000000" w:rsidR="00000000" w:rsidRPr="00000000">
        <w:rPr>
          <w:rFonts w:ascii="Google Sans" w:cs="Google Sans" w:eastAsia="Google Sans" w:hAnsi="Google Sans"/>
          <w:color w:val="1f1f1f"/>
        </w:rPr>
        <w:drawing>
          <wp:inline distB="19050" distT="19050" distL="19050" distR="19050">
            <wp:extent cx="167514" cy="251271"/>
            <wp:effectExtent b="0" l="0" r="0" t="0"/>
            <wp:docPr id="19"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a:off x="0" y="0"/>
                      <a:ext cx="167514" cy="251271"/>
                    </a:xfrm>
                    <a:prstGeom prst="rect"/>
                    <a:ln/>
                  </pic:spPr>
                </pic:pic>
              </a:graphicData>
            </a:graphic>
          </wp:inline>
        </w:drawing>
      </w:r>
      <w:r w:rsidDel="00000000" w:rsidR="00000000" w:rsidRPr="00000000">
        <w:rPr>
          <w:rFonts w:ascii="Google Sans" w:cs="Google Sans" w:eastAsia="Google Sans" w:hAnsi="Google Sans"/>
          <w:color w:val="1f1f1f"/>
          <w:rtl w:val="0"/>
        </w:rPr>
        <w:t xml:space="preserve"> comprising </w:t>
      </w:r>
      <w:r w:rsidDel="00000000" w:rsidR="00000000" w:rsidRPr="00000000">
        <w:rPr>
          <w:rFonts w:ascii="Google Sans" w:cs="Google Sans" w:eastAsia="Google Sans" w:hAnsi="Google Sans"/>
          <w:color w:val="1f1f1f"/>
        </w:rPr>
        <w:drawing>
          <wp:inline distB="19050" distT="19050" distL="19050" distR="19050">
            <wp:extent cx="178759" cy="252366"/>
            <wp:effectExtent b="0" l="0" r="0" t="0"/>
            <wp:docPr id="26" name="image19.png"/>
            <a:graphic>
              <a:graphicData uri="http://schemas.openxmlformats.org/drawingml/2006/picture">
                <pic:pic>
                  <pic:nvPicPr>
                    <pic:cNvPr id="0" name="image19.png"/>
                    <pic:cNvPicPr preferRelativeResize="0"/>
                  </pic:nvPicPr>
                  <pic:blipFill>
                    <a:blip r:embed="rId14"/>
                    <a:srcRect b="0" l="0" r="0" t="0"/>
                    <a:stretch>
                      <a:fillRect/>
                    </a:stretch>
                  </pic:blipFill>
                  <pic:spPr>
                    <a:xfrm>
                      <a:off x="0" y="0"/>
                      <a:ext cx="178759" cy="252366"/>
                    </a:xfrm>
                    <a:prstGeom prst="rect"/>
                    <a:ln/>
                  </pic:spPr>
                </pic:pic>
              </a:graphicData>
            </a:graphic>
          </wp:inline>
        </w:drawing>
      </w:r>
      <w:r w:rsidDel="00000000" w:rsidR="00000000" w:rsidRPr="00000000">
        <w:rPr>
          <w:rFonts w:ascii="Google Sans" w:cs="Google Sans" w:eastAsia="Google Sans" w:hAnsi="Google Sans"/>
          <w:color w:val="1f1f1f"/>
          <w:rtl w:val="0"/>
        </w:rPr>
        <w:t xml:space="preserve"> patch vectors is computed using the late-interaction MaxSim operator</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870284"/>
            <wp:effectExtent b="0" l="0" r="0" t="0"/>
            <wp:docPr id="22" name="image24.png"/>
            <a:graphic>
              <a:graphicData uri="http://schemas.openxmlformats.org/drawingml/2006/picture">
                <pic:pic>
                  <pic:nvPicPr>
                    <pic:cNvPr id="0" name="image24.png"/>
                    <pic:cNvPicPr preferRelativeResize="0"/>
                  </pic:nvPicPr>
                  <pic:blipFill>
                    <a:blip r:embed="rId15"/>
                    <a:srcRect b="0" l="0" r="0" t="0"/>
                    <a:stretch>
                      <a:fillRect/>
                    </a:stretch>
                  </pic:blipFill>
                  <pic:spPr>
                    <a:xfrm>
                      <a:off x="0" y="0"/>
                      <a:ext cx="5905500" cy="870284"/>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where </w:t>
      </w:r>
      <w:r w:rsidDel="00000000" w:rsidR="00000000" w:rsidRPr="00000000">
        <w:rPr>
          <w:rFonts w:ascii="Google Sans" w:cs="Google Sans" w:eastAsia="Google Sans" w:hAnsi="Google Sans"/>
          <w:color w:val="1f1f1f"/>
        </w:rPr>
        <w:drawing>
          <wp:inline distB="19050" distT="19050" distL="19050" distR="19050">
            <wp:extent cx="517426" cy="258713"/>
            <wp:effectExtent b="0" l="0" r="0" t="0"/>
            <wp:docPr id="24" name="image17.png"/>
            <a:graphic>
              <a:graphicData uri="http://schemas.openxmlformats.org/drawingml/2006/picture">
                <pic:pic>
                  <pic:nvPicPr>
                    <pic:cNvPr id="0" name="image17.png"/>
                    <pic:cNvPicPr preferRelativeResize="0"/>
                  </pic:nvPicPr>
                  <pic:blipFill>
                    <a:blip r:embed="rId16"/>
                    <a:srcRect b="0" l="0" r="0" t="0"/>
                    <a:stretch>
                      <a:fillRect/>
                    </a:stretch>
                  </pic:blipFill>
                  <pic:spPr>
                    <a:xfrm>
                      <a:off x="0" y="0"/>
                      <a:ext cx="517426" cy="258713"/>
                    </a:xfrm>
                    <a:prstGeom prst="rect"/>
                    <a:ln/>
                  </pic:spPr>
                </pic:pic>
              </a:graphicData>
            </a:graphic>
          </wp:inline>
        </w:drawing>
      </w:r>
      <w:r w:rsidDel="00000000" w:rsidR="00000000" w:rsidRPr="00000000">
        <w:rPr>
          <w:rFonts w:ascii="Google Sans" w:cs="Google Sans" w:eastAsia="Google Sans" w:hAnsi="Google Sans"/>
          <w:color w:val="1f1f1f"/>
          <w:rtl w:val="0"/>
        </w:rPr>
        <w:t xml:space="preserve"> represents the projected vector for query token </w:t>
      </w:r>
      <w:r w:rsidDel="00000000" w:rsidR="00000000" w:rsidRPr="00000000">
        <w:rPr>
          <w:rFonts w:ascii="Google Sans" w:cs="Google Sans" w:eastAsia="Google Sans" w:hAnsi="Google Sans"/>
          <w:color w:val="1f1f1f"/>
        </w:rPr>
        <w:drawing>
          <wp:inline distB="19050" distT="19050" distL="19050" distR="19050">
            <wp:extent cx="67634" cy="270536"/>
            <wp:effectExtent b="0" l="0" r="0" t="0"/>
            <wp:docPr id="27"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67634" cy="270536"/>
                    </a:xfrm>
                    <a:prstGeom prst="rect"/>
                    <a:ln/>
                  </pic:spPr>
                </pic:pic>
              </a:graphicData>
            </a:graphic>
          </wp:inline>
        </w:drawing>
      </w:r>
      <w:r w:rsidDel="00000000" w:rsidR="00000000" w:rsidRPr="00000000">
        <w:rPr>
          <w:rFonts w:ascii="Google Sans" w:cs="Google Sans" w:eastAsia="Google Sans" w:hAnsi="Google Sans"/>
          <w:color w:val="1f1f1f"/>
          <w:rtl w:val="0"/>
        </w:rPr>
        <w:t xml:space="preserve">, and </w:t>
      </w:r>
      <w:r w:rsidDel="00000000" w:rsidR="00000000" w:rsidRPr="00000000">
        <w:rPr>
          <w:rFonts w:ascii="Google Sans" w:cs="Google Sans" w:eastAsia="Google Sans" w:hAnsi="Google Sans"/>
          <w:color w:val="1f1f1f"/>
        </w:rPr>
        <w:drawing>
          <wp:inline distB="19050" distT="19050" distL="19050" distR="19050">
            <wp:extent cx="554302" cy="255832"/>
            <wp:effectExtent b="0" l="0" r="0" t="0"/>
            <wp:docPr id="29" name="image22.png"/>
            <a:graphic>
              <a:graphicData uri="http://schemas.openxmlformats.org/drawingml/2006/picture">
                <pic:pic>
                  <pic:nvPicPr>
                    <pic:cNvPr id="0" name="image22.png"/>
                    <pic:cNvPicPr preferRelativeResize="0"/>
                  </pic:nvPicPr>
                  <pic:blipFill>
                    <a:blip r:embed="rId18"/>
                    <a:srcRect b="0" l="0" r="0" t="0"/>
                    <a:stretch>
                      <a:fillRect/>
                    </a:stretch>
                  </pic:blipFill>
                  <pic:spPr>
                    <a:xfrm>
                      <a:off x="0" y="0"/>
                      <a:ext cx="554302" cy="25583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represents the projected vector for visual page patch </w:t>
      </w:r>
      <w:r w:rsidDel="00000000" w:rsidR="00000000" w:rsidRPr="00000000">
        <w:rPr>
          <w:rFonts w:ascii="Google Sans" w:cs="Google Sans" w:eastAsia="Google Sans" w:hAnsi="Google Sans"/>
          <w:color w:val="1f1f1f"/>
        </w:rPr>
        <w:drawing>
          <wp:inline distB="19050" distT="19050" distL="19050" distR="19050">
            <wp:extent cx="91943" cy="275828"/>
            <wp:effectExtent b="0" l="0" r="0" t="0"/>
            <wp:docPr id="31"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91943" cy="275828"/>
                    </a:xfrm>
                    <a:prstGeom prst="rect"/>
                    <a:ln/>
                  </pic:spPr>
                </pic:pic>
              </a:graphicData>
            </a:graphic>
          </wp:inline>
        </w:drawing>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2.2 Benchmarking Visual Retrieval Systems</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ViDoRe V3 benchmark establishes a comprehensive multi-modal Retrieval-Augmented Generation (RAG) evaluation paradigm spanning 26,000 document pages across 10 industry domains paired with 3,099 human-verified queries</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 ViDoRe V3 evaluates systems across a taxonomy of 7 Query Types (open-ended, extractive, numerical, multi-hop, compare-contrast, boolean, enumerative) and 3 Query Formats (question, keyword, instruction)</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 Empirical findings demonstrate that visual retrievers consistently outperform traditional text-based chunking on visually rich documents, elevating downstream answer accuracy from 0.510 to 0.745–0.828 when paired with frontier multimodal generators</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4">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2.3 Integrating Visual Patch Representations into Property Graph Schemas</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harness vision retrievers within a unified knowledge graph, visual patch representations are bound to structural graph nodes using a hybrid multimodal schema</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Rather than treating visual pages as external blobs, each page node anchors both its multi-vector embeddings (stored in disk-backed stores like LanceDB or Qdrant) and extracted textual/symbolic entities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During retrieval, a query undergoes two-stage processing. First, coarse visual filtering or sparse full-text search narrows candidate document pages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Second, fine late-interaction reranking scores the top candidates over visual patch embeddings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The resulting top-ranked visual page nodes seed Personalized PageRank (PPR) or graph traversal algorithms, pulling in adjacent reified claims, sub-question execution traces, and temporal entities</w:t>
      </w:r>
      <w:r w:rsidDel="00000000" w:rsidR="00000000" w:rsidRPr="00000000">
        <w:rPr>
          <w:rFonts w:ascii="Google Sans" w:cs="Google Sans" w:eastAsia="Google Sans" w:hAnsi="Google Sans"/>
          <w:color w:val="444746"/>
          <w:sz w:val="24"/>
          <w:szCs w:val="24"/>
          <w:vertAlign w:val="superscript"/>
          <w:rtl w:val="0"/>
        </w:rPr>
        <w:t xml:space="preserve">22</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7">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 Enterprise Fine-Grained Access Control and Graph Governance</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Deploying Knowledge Graph Retrieval-Augmented Generation (GraphRAG) in multi-tenant enterprise environments introduces severe security hazards</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 Unrestricted graph algorithms—such as Personalized PageRank (PPR), Louvain or Leiden community detection, and multi-hop path traversals—can inadvertently traverse restricted nodes and edges</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 This creates context-bleeding vulnerabilities, where an language agent receives context packs synthesized from unauthorized documents</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Achieving enterprise security requires implementing Fine-Grained Access Control (FGAC) directly within the graph engine, enforcing Relationship-Based Access Control (ReBAC) and Attribute-Based Access Control (ABAC) at every traversal step</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A">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3.1 Authorization Models: ReBAC and ABAC</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Enterprise graph security relies on Relationship-Based Access Control (ReBAC), inspired by Google's Zanzibar architecture and implemented in open-source systems such as OpenFGA</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ReBAC models authorization policies as graph edges where permissions are derived from structural relations</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For example, a user gains access to a document via transitive policy paths connecting user group memberships to folder ownership structures</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Policy languages such as Cedar decouple access logic from graph processing, allowing dynamic evaluation of ABAC attributes (e.g., clearance level, IP origin, temporal window) alongside ReBAC graph relationships</w:t>
      </w:r>
      <w:r w:rsidDel="00000000" w:rsidR="00000000" w:rsidRPr="00000000">
        <w:rPr>
          <w:rFonts w:ascii="Google Sans" w:cs="Google Sans" w:eastAsia="Google Sans" w:hAnsi="Google Sans"/>
          <w:color w:val="444746"/>
          <w:sz w:val="24"/>
          <w:szCs w:val="24"/>
          <w:vertAlign w:val="superscript"/>
          <w:rtl w:val="0"/>
        </w:rPr>
        <w:t xml:space="preserve">24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C">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3.2 Security-Aware Graph Traversal and PPR Filtering</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Enforcing security retroactively by filtering context after retrieval is fundamentally insecure and computationally inefficient</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 Permission checks must be integrated into graph traversal and PageRank algorithms directly</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 standard Personalized PageRank (PPR), the transition probability matrix governs random walks between nodes. In a security-aware graph engine, the transition probability </w:t>
      </w:r>
      <w:r w:rsidDel="00000000" w:rsidR="00000000" w:rsidRPr="00000000">
        <w:rPr>
          <w:rFonts w:ascii="Google Sans" w:cs="Google Sans" w:eastAsia="Google Sans" w:hAnsi="Google Sans"/>
          <w:color w:val="1f1f1f"/>
        </w:rPr>
        <w:drawing>
          <wp:inline distB="19050" distT="19050" distL="19050" distR="19050">
            <wp:extent cx="311547" cy="257832"/>
            <wp:effectExtent b="0" l="0" r="0" t="0"/>
            <wp:docPr id="32" name="image23.png"/>
            <a:graphic>
              <a:graphicData uri="http://schemas.openxmlformats.org/drawingml/2006/picture">
                <pic:pic>
                  <pic:nvPicPr>
                    <pic:cNvPr id="0" name="image23.png"/>
                    <pic:cNvPicPr preferRelativeResize="0"/>
                  </pic:nvPicPr>
                  <pic:blipFill>
                    <a:blip r:embed="rId20"/>
                    <a:srcRect b="0" l="0" r="0" t="0"/>
                    <a:stretch>
                      <a:fillRect/>
                    </a:stretch>
                  </pic:blipFill>
                  <pic:spPr>
                    <a:xfrm>
                      <a:off x="0" y="0"/>
                      <a:ext cx="311547" cy="25783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from node </w:t>
      </w:r>
      <w:r w:rsidDel="00000000" w:rsidR="00000000" w:rsidRPr="00000000">
        <w:rPr>
          <w:rFonts w:ascii="Google Sans" w:cs="Google Sans" w:eastAsia="Google Sans" w:hAnsi="Google Sans"/>
          <w:color w:val="1f1f1f"/>
        </w:rPr>
        <w:drawing>
          <wp:inline distB="19050" distT="19050" distL="19050" distR="19050">
            <wp:extent cx="91943" cy="275828"/>
            <wp:effectExtent b="0" l="0" r="0" t="0"/>
            <wp:docPr id="33"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91943" cy="275828"/>
                    </a:xfrm>
                    <a:prstGeom prst="rect"/>
                    <a:ln/>
                  </pic:spPr>
                </pic:pic>
              </a:graphicData>
            </a:graphic>
          </wp:inline>
        </w:drawing>
      </w:r>
      <w:r w:rsidDel="00000000" w:rsidR="00000000" w:rsidRPr="00000000">
        <w:rPr>
          <w:rFonts w:ascii="Google Sans" w:cs="Google Sans" w:eastAsia="Google Sans" w:hAnsi="Google Sans"/>
          <w:color w:val="1f1f1f"/>
          <w:rtl w:val="0"/>
        </w:rPr>
        <w:t xml:space="preserve"> to node </w:t>
      </w:r>
      <w:r w:rsidDel="00000000" w:rsidR="00000000" w:rsidRPr="00000000">
        <w:rPr>
          <w:rFonts w:ascii="Google Sans" w:cs="Google Sans" w:eastAsia="Google Sans" w:hAnsi="Google Sans"/>
          <w:color w:val="1f1f1f"/>
        </w:rPr>
        <w:drawing>
          <wp:inline distB="19050" distT="19050" distL="19050" distR="19050">
            <wp:extent cx="67634" cy="270536"/>
            <wp:effectExtent b="0" l="0" r="0" t="0"/>
            <wp:docPr id="34"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67634" cy="270536"/>
                    </a:xfrm>
                    <a:prstGeom prst="rect"/>
                    <a:ln/>
                  </pic:spPr>
                </pic:pic>
              </a:graphicData>
            </a:graphic>
          </wp:inline>
        </w:drawing>
      </w:r>
      <w:r w:rsidDel="00000000" w:rsidR="00000000" w:rsidRPr="00000000">
        <w:rPr>
          <w:rFonts w:ascii="Google Sans" w:cs="Google Sans" w:eastAsia="Google Sans" w:hAnsi="Google Sans"/>
          <w:color w:val="1f1f1f"/>
          <w:rtl w:val="0"/>
        </w:rPr>
        <w:t xml:space="preserve"> for a specific user </w:t>
      </w:r>
      <w:r w:rsidDel="00000000" w:rsidR="00000000" w:rsidRPr="00000000">
        <w:rPr>
          <w:rFonts w:ascii="Google Sans" w:cs="Google Sans" w:eastAsia="Google Sans" w:hAnsi="Google Sans"/>
          <w:color w:val="1f1f1f"/>
        </w:rPr>
        <w:drawing>
          <wp:inline distB="19050" distT="19050" distL="19050" distR="19050">
            <wp:extent cx="112117" cy="269080"/>
            <wp:effectExtent b="0" l="0" r="0" t="0"/>
            <wp:docPr id="35"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112117" cy="269080"/>
                    </a:xfrm>
                    <a:prstGeom prst="rect"/>
                    <a:ln/>
                  </pic:spPr>
                </pic:pic>
              </a:graphicData>
            </a:graphic>
          </wp:inline>
        </w:drawing>
      </w:r>
      <w:r w:rsidDel="00000000" w:rsidR="00000000" w:rsidRPr="00000000">
        <w:rPr>
          <w:rFonts w:ascii="Google Sans" w:cs="Google Sans" w:eastAsia="Google Sans" w:hAnsi="Google Sans"/>
          <w:color w:val="1f1f1f"/>
          <w:rtl w:val="0"/>
        </w:rPr>
        <w:t xml:space="preserve"> is conditioned on a permission filtering function </w:t>
      </w:r>
      <w:r w:rsidDel="00000000" w:rsidR="00000000" w:rsidRPr="00000000">
        <w:rPr>
          <w:rFonts w:ascii="Google Sans" w:cs="Google Sans" w:eastAsia="Google Sans" w:hAnsi="Google Sans"/>
          <w:color w:val="1f1f1f"/>
        </w:rPr>
        <w:drawing>
          <wp:inline distB="19050" distT="19050" distL="19050" distR="19050">
            <wp:extent cx="937617" cy="255714"/>
            <wp:effectExtent b="0" l="0" r="0" t="0"/>
            <wp:docPr id="36" name="image20.png"/>
            <a:graphic>
              <a:graphicData uri="http://schemas.openxmlformats.org/drawingml/2006/picture">
                <pic:pic>
                  <pic:nvPicPr>
                    <pic:cNvPr id="0" name="image20.png"/>
                    <pic:cNvPicPr preferRelativeResize="0"/>
                  </pic:nvPicPr>
                  <pic:blipFill>
                    <a:blip r:embed="rId22"/>
                    <a:srcRect b="0" l="0" r="0" t="0"/>
                    <a:stretch>
                      <a:fillRect/>
                    </a:stretch>
                  </pic:blipFill>
                  <pic:spPr>
                    <a:xfrm>
                      <a:off x="0" y="0"/>
                      <a:ext cx="937617" cy="255714"/>
                    </a:xfrm>
                    <a:prstGeom prst="rect"/>
                    <a:ln/>
                  </pic:spPr>
                </pic:pic>
              </a:graphicData>
            </a:graphic>
          </wp:inline>
        </w:drawing>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950208"/>
            <wp:effectExtent b="0" l="0" r="0" t="0"/>
            <wp:docPr id="1"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5905500" cy="950208"/>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dynamic transition matrix </w:t>
      </w:r>
      <w:r w:rsidDel="00000000" w:rsidR="00000000" w:rsidRPr="00000000">
        <w:rPr>
          <w:rFonts w:ascii="Google Sans" w:cs="Google Sans" w:eastAsia="Google Sans" w:hAnsi="Google Sans"/>
          <w:color w:val="1f1f1f"/>
        </w:rPr>
        <w:drawing>
          <wp:inline distB="19050" distT="19050" distL="19050" distR="19050">
            <wp:extent cx="406632" cy="256820"/>
            <wp:effectExtent b="0" l="0" r="0" t="0"/>
            <wp:docPr id="2"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406632" cy="256820"/>
                    </a:xfrm>
                    <a:prstGeom prst="rect"/>
                    <a:ln/>
                  </pic:spPr>
                </pic:pic>
              </a:graphicData>
            </a:graphic>
          </wp:inline>
        </w:drawing>
      </w:r>
      <w:r w:rsidDel="00000000" w:rsidR="00000000" w:rsidRPr="00000000">
        <w:rPr>
          <w:rFonts w:ascii="Google Sans" w:cs="Google Sans" w:eastAsia="Google Sans" w:hAnsi="Google Sans"/>
          <w:color w:val="1f1f1f"/>
          <w:rtl w:val="0"/>
        </w:rPr>
        <w:t xml:space="preserve"> tailored to user </w:t>
      </w:r>
      <w:r w:rsidDel="00000000" w:rsidR="00000000" w:rsidRPr="00000000">
        <w:rPr>
          <w:rFonts w:ascii="Google Sans" w:cs="Google Sans" w:eastAsia="Google Sans" w:hAnsi="Google Sans"/>
          <w:color w:val="1f1f1f"/>
        </w:rPr>
        <w:drawing>
          <wp:inline distB="19050" distT="19050" distL="19050" distR="19050">
            <wp:extent cx="112117" cy="269080"/>
            <wp:effectExtent b="0" l="0" r="0" t="0"/>
            <wp:docPr id="3" name="image26.png"/>
            <a:graphic>
              <a:graphicData uri="http://schemas.openxmlformats.org/drawingml/2006/picture">
                <pic:pic>
                  <pic:nvPicPr>
                    <pic:cNvPr id="0" name="image26.png"/>
                    <pic:cNvPicPr preferRelativeResize="0"/>
                  </pic:nvPicPr>
                  <pic:blipFill>
                    <a:blip r:embed="rId21"/>
                    <a:srcRect b="0" l="0" r="0" t="0"/>
                    <a:stretch>
                      <a:fillRect/>
                    </a:stretch>
                  </pic:blipFill>
                  <pic:spPr>
                    <a:xfrm>
                      <a:off x="0" y="0"/>
                      <a:ext cx="112117" cy="269080"/>
                    </a:xfrm>
                    <a:prstGeom prst="rect"/>
                    <a:ln/>
                  </pic:spPr>
                </pic:pic>
              </a:graphicData>
            </a:graphic>
          </wp:inline>
        </w:drawing>
      </w:r>
      <w:r w:rsidDel="00000000" w:rsidR="00000000" w:rsidRPr="00000000">
        <w:rPr>
          <w:rFonts w:ascii="Google Sans" w:cs="Google Sans" w:eastAsia="Google Sans" w:hAnsi="Google Sans"/>
          <w:color w:val="1f1f1f"/>
          <w:rtl w:val="0"/>
        </w:rPr>
        <w:t xml:space="preserve"> is defined as:</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843643"/>
            <wp:effectExtent b="0" l="0" r="0" t="0"/>
            <wp:docPr id="4"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5905500" cy="84364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where </w:t>
      </w:r>
      <w:r w:rsidDel="00000000" w:rsidR="00000000" w:rsidRPr="00000000">
        <w:rPr>
          <w:rFonts w:ascii="Google Sans" w:cs="Google Sans" w:eastAsia="Google Sans" w:hAnsi="Google Sans"/>
          <w:color w:val="1f1f1f"/>
        </w:rPr>
        <w:drawing>
          <wp:inline distB="19050" distT="19050" distL="19050" distR="19050">
            <wp:extent cx="268387" cy="257651"/>
            <wp:effectExtent b="0" l="0" r="0" t="0"/>
            <wp:docPr id="5"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268387" cy="257651"/>
                    </a:xfrm>
                    <a:prstGeom prst="rect"/>
                    <a:ln/>
                  </pic:spPr>
                </pic:pic>
              </a:graphicData>
            </a:graphic>
          </wp:inline>
        </w:drawing>
      </w:r>
      <w:r w:rsidDel="00000000" w:rsidR="00000000" w:rsidRPr="00000000">
        <w:rPr>
          <w:rFonts w:ascii="Google Sans" w:cs="Google Sans" w:eastAsia="Google Sans" w:hAnsi="Google Sans"/>
          <w:color w:val="1f1f1f"/>
          <w:rtl w:val="0"/>
        </w:rPr>
        <w:t xml:space="preserve"> represents the edge weight between node </w:t>
      </w:r>
      <w:r w:rsidDel="00000000" w:rsidR="00000000" w:rsidRPr="00000000">
        <w:rPr>
          <w:rFonts w:ascii="Google Sans" w:cs="Google Sans" w:eastAsia="Google Sans" w:hAnsi="Google Sans"/>
          <w:color w:val="1f1f1f"/>
        </w:rPr>
        <w:drawing>
          <wp:inline distB="19050" distT="19050" distL="19050" distR="19050">
            <wp:extent cx="91943" cy="275828"/>
            <wp:effectExtent b="0" l="0" r="0" t="0"/>
            <wp:docPr id="6"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91943" cy="275828"/>
                    </a:xfrm>
                    <a:prstGeom prst="rect"/>
                    <a:ln/>
                  </pic:spPr>
                </pic:pic>
              </a:graphicData>
            </a:graphic>
          </wp:inline>
        </w:drawing>
      </w:r>
      <w:r w:rsidDel="00000000" w:rsidR="00000000" w:rsidRPr="00000000">
        <w:rPr>
          <w:rFonts w:ascii="Google Sans" w:cs="Google Sans" w:eastAsia="Google Sans" w:hAnsi="Google Sans"/>
          <w:color w:val="1f1f1f"/>
          <w:rtl w:val="0"/>
        </w:rPr>
        <w:t xml:space="preserve"> and node </w:t>
      </w:r>
      <w:r w:rsidDel="00000000" w:rsidR="00000000" w:rsidRPr="00000000">
        <w:rPr>
          <w:rFonts w:ascii="Google Sans" w:cs="Google Sans" w:eastAsia="Google Sans" w:hAnsi="Google Sans"/>
          <w:color w:val="1f1f1f"/>
        </w:rPr>
        <w:drawing>
          <wp:inline distB="19050" distT="19050" distL="19050" distR="19050">
            <wp:extent cx="67634" cy="270536"/>
            <wp:effectExtent b="0" l="0" r="0" t="0"/>
            <wp:docPr id="7"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67634" cy="270536"/>
                    </a:xfrm>
                    <a:prstGeom prst="rect"/>
                    <a:ln/>
                  </pic:spPr>
                </pic:pic>
              </a:graphicData>
            </a:graphic>
          </wp:inline>
        </w:drawing>
      </w:r>
      <w:r w:rsidDel="00000000" w:rsidR="00000000" w:rsidRPr="00000000">
        <w:rPr>
          <w:rFonts w:ascii="Google Sans" w:cs="Google Sans" w:eastAsia="Google Sans" w:hAnsi="Google Sans"/>
          <w:color w:val="1f1f1f"/>
          <w:rtl w:val="0"/>
        </w:rPr>
        <w:t xml:space="preserve">. If a path leads to an unauthorized node, its transition probability drops to zero, pruning the search tree instantly and preventing unauthorized data from influencing PageRank centrality or community summaries</w:t>
      </w:r>
      <w:r w:rsidDel="00000000" w:rsidR="00000000" w:rsidRPr="00000000">
        <w:rPr>
          <w:rFonts w:ascii="Google Sans" w:cs="Google Sans" w:eastAsia="Google Sans" w:hAnsi="Google Sans"/>
          <w:color w:val="444746"/>
          <w:sz w:val="24"/>
          <w:szCs w:val="24"/>
          <w:vertAlign w:val="superscript"/>
          <w:rtl w:val="0"/>
        </w:rPr>
        <w:t xml:space="preserve">7</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Integrating OAuth 2.0 authorization with Resource Indicators (RFC 8707) allows agent tool invocations to pass fine-grained security contexts across organizational boundaries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Every tool call (search, neighbors, path) accepts an authenticated security context token, evaluating permissions at the database level before materializing subgraphs [cite: 11.4, 24].</w:t>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4. Dynamic Reasoning Topologies via Graph-of-Thoughts Frameworks</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While static knowledge graphs provide structured domain memory, agentic problem-solving requires dynamic cognitive architectures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Traditional prompt engineering paradigms rely on linear Chain-of-Thought (CoT) or branching Tree-of-Thoughts (ToT) topologies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However, complex multi-step reasoning, mathematical optimization, and scientific synthesis are non-linear processes that demand arbitrary network topologies, back-tracking, dynamic aggregation, and recursive refinement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Graph-of-Thoughts (GoT) framework generalizes reasoning by modeling intermediate LLM-generated thoughts as vertices in a dynamic directed graph</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7">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4.1 Mathematical Formulation of Graph-of-Thoughts</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 Graph-of-Thoughts reasoning process is formally defined as a tuple</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630512"/>
            <wp:effectExtent b="0" l="0" r="0" t="0"/>
            <wp:docPr id="8" name="image12.png"/>
            <a:graphic>
              <a:graphicData uri="http://schemas.openxmlformats.org/drawingml/2006/picture">
                <pic:pic>
                  <pic:nvPicPr>
                    <pic:cNvPr id="0" name="image12.png"/>
                    <pic:cNvPicPr preferRelativeResize="0"/>
                  </pic:nvPicPr>
                  <pic:blipFill>
                    <a:blip r:embed="rId27"/>
                    <a:srcRect b="0" l="0" r="0" t="0"/>
                    <a:stretch>
                      <a:fillRect/>
                    </a:stretch>
                  </pic:blipFill>
                  <pic:spPr>
                    <a:xfrm>
                      <a:off x="0" y="0"/>
                      <a:ext cx="5905500" cy="630512"/>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 this formulation, </w:t>
      </w:r>
      <w:r w:rsidDel="00000000" w:rsidR="00000000" w:rsidRPr="00000000">
        <w:rPr>
          <w:rFonts w:ascii="Google Sans" w:cs="Google Sans" w:eastAsia="Google Sans" w:hAnsi="Google Sans"/>
          <w:color w:val="1f1f1f"/>
        </w:rPr>
        <w:drawing>
          <wp:inline distB="19050" distT="19050" distL="19050" distR="19050">
            <wp:extent cx="1672990" cy="254125"/>
            <wp:effectExtent b="0" l="0" r="0" t="0"/>
            <wp:docPr id="9"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1672990" cy="254125"/>
                    </a:xfrm>
                    <a:prstGeom prst="rect"/>
                    <a:ln/>
                  </pic:spPr>
                </pic:pic>
              </a:graphicData>
            </a:graphic>
          </wp:inline>
        </w:drawing>
      </w:r>
      <w:r w:rsidDel="00000000" w:rsidR="00000000" w:rsidRPr="00000000">
        <w:rPr>
          <w:rFonts w:ascii="Google Sans" w:cs="Google Sans" w:eastAsia="Google Sans" w:hAnsi="Google Sans"/>
          <w:color w:val="1f1f1f"/>
          <w:rtl w:val="0"/>
        </w:rPr>
        <w:t xml:space="preserve"> represents the set of thought vertices, where each vertex is a distinct reasoning step, partial solution, or sub-goal</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Directed dependency edges </w:t>
      </w:r>
      <w:r w:rsidDel="00000000" w:rsidR="00000000" w:rsidRPr="00000000">
        <w:rPr>
          <w:rFonts w:ascii="Google Sans" w:cs="Google Sans" w:eastAsia="Google Sans" w:hAnsi="Google Sans"/>
          <w:color w:val="1f1f1f"/>
        </w:rPr>
        <w:drawing>
          <wp:inline distB="19050" distT="19050" distL="19050" distR="19050">
            <wp:extent cx="972179" cy="256399"/>
            <wp:effectExtent b="0" l="0" r="0" t="0"/>
            <wp:docPr id="10"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972179" cy="256399"/>
                    </a:xfrm>
                    <a:prstGeom prst="rect"/>
                    <a:ln/>
                  </pic:spPr>
                </pic:pic>
              </a:graphicData>
            </a:graphic>
          </wp:inline>
        </w:drawing>
      </w:r>
      <w:r w:rsidDel="00000000" w:rsidR="00000000" w:rsidRPr="00000000">
        <w:rPr>
          <w:rFonts w:ascii="Google Sans" w:cs="Google Sans" w:eastAsia="Google Sans" w:hAnsi="Google Sans"/>
          <w:color w:val="1f1f1f"/>
          <w:rtl w:val="0"/>
        </w:rPr>
        <w:t xml:space="preserve"> explicitly indicate that a downstream thought was derived from or depends upon an upstream thought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The function </w:t>
      </w:r>
      <w:r w:rsidDel="00000000" w:rsidR="00000000" w:rsidRPr="00000000">
        <w:rPr>
          <w:rFonts w:ascii="Google Sans" w:cs="Google Sans" w:eastAsia="Google Sans" w:hAnsi="Google Sans"/>
          <w:color w:val="1f1f1f"/>
        </w:rPr>
        <w:drawing>
          <wp:inline distB="19050" distT="19050" distL="19050" distR="19050">
            <wp:extent cx="864857" cy="256254"/>
            <wp:effectExtent b="0" l="0" r="0" t="0"/>
            <wp:docPr id="18"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864857" cy="256254"/>
                    </a:xfrm>
                    <a:prstGeom prst="rect"/>
                    <a:ln/>
                  </pic:spPr>
                </pic:pic>
              </a:graphicData>
            </a:graphic>
          </wp:inline>
        </w:drawing>
      </w:r>
      <w:r w:rsidDel="00000000" w:rsidR="00000000" w:rsidRPr="00000000">
        <w:rPr>
          <w:rFonts w:ascii="Google Sans" w:cs="Google Sans" w:eastAsia="Google Sans" w:hAnsi="Google Sans"/>
          <w:color w:val="1f1f1f"/>
          <w:rtl w:val="0"/>
        </w:rPr>
        <w:t xml:space="preserve"> assigns semantic roles to each vertex, annotating its functional classification (such as Plan, SubProblem, Hypothesis, VerificationStep, or DistilledSummary)</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Graph transformations modify the reasoning state dynamically via four primitive operators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C">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Generation:</w:t>
      </w: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2136515" cy="255106"/>
            <wp:effectExtent b="0" l="0" r="0" t="0"/>
            <wp:docPr id="20" name="image2.png"/>
            <a:graphic>
              <a:graphicData uri="http://schemas.openxmlformats.org/drawingml/2006/picture">
                <pic:pic>
                  <pic:nvPicPr>
                    <pic:cNvPr id="0" name="image2.png"/>
                    <pic:cNvPicPr preferRelativeResize="0"/>
                  </pic:nvPicPr>
                  <pic:blipFill>
                    <a:blip r:embed="rId31"/>
                    <a:srcRect b="0" l="0" r="0" t="0"/>
                    <a:stretch>
                      <a:fillRect/>
                    </a:stretch>
                  </pic:blipFill>
                  <pic:spPr>
                    <a:xfrm>
                      <a:off x="0" y="0"/>
                      <a:ext cx="2136515" cy="255106"/>
                    </a:xfrm>
                    <a:prstGeom prst="rect"/>
                    <a:ln/>
                  </pic:spPr>
                </pic:pic>
              </a:graphicData>
            </a:graphic>
          </wp:inline>
        </w:drawing>
      </w:r>
      <w:r w:rsidDel="00000000" w:rsidR="00000000" w:rsidRPr="00000000">
        <w:rPr>
          <w:rFonts w:ascii="Google Sans" w:cs="Google Sans" w:eastAsia="Google Sans" w:hAnsi="Google Sans"/>
          <w:color w:val="1f1f1f"/>
          <w:rtl w:val="0"/>
        </w:rPr>
        <w:t xml:space="preserve"> creates new downstream child thoughts branching from a single parent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D">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Aggregation:</w:t>
      </w: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2437638" cy="254362"/>
            <wp:effectExtent b="0" l="0" r="0" t="0"/>
            <wp:docPr id="23"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2437638" cy="25436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combines multiple independent parent thoughts into a unified, synergistic thought vertex</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E">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Refinement:</w:t>
      </w: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1607677" cy="253844"/>
            <wp:effectExtent b="0" l="0" r="0" t="0"/>
            <wp:docPr id="25" name="image18.png"/>
            <a:graphic>
              <a:graphicData uri="http://schemas.openxmlformats.org/drawingml/2006/picture">
                <pic:pic>
                  <pic:nvPicPr>
                    <pic:cNvPr id="0" name="image18.png"/>
                    <pic:cNvPicPr preferRelativeResize="0"/>
                  </pic:nvPicPr>
                  <pic:blipFill>
                    <a:blip r:embed="rId33"/>
                    <a:srcRect b="0" l="0" r="0" t="0"/>
                    <a:stretch>
                      <a:fillRect/>
                    </a:stretch>
                  </pic:blipFill>
                  <pic:spPr>
                    <a:xfrm>
                      <a:off x="0" y="0"/>
                      <a:ext cx="1607677" cy="253844"/>
                    </a:xfrm>
                    <a:prstGeom prst="rect"/>
                    <a:ln/>
                  </pic:spPr>
                </pic:pic>
              </a:graphicData>
            </a:graphic>
          </wp:inline>
        </w:drawing>
      </w:r>
      <w:r w:rsidDel="00000000" w:rsidR="00000000" w:rsidRPr="00000000">
        <w:rPr>
          <w:rFonts w:ascii="Google Sans" w:cs="Google Sans" w:eastAsia="Google Sans" w:hAnsi="Google Sans"/>
          <w:color w:val="1f1f1f"/>
          <w:rtl w:val="0"/>
        </w:rPr>
        <w:t xml:space="preserve"> executes self-correction or feedback-driven updates on an existing thought vertex</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F">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Distillation:</w:t>
      </w:r>
      <w:r w:rsidDel="00000000" w:rsidR="00000000" w:rsidRPr="00000000">
        <w:rPr>
          <w:rFonts w:ascii="Google Sans" w:cs="Google Sans" w:eastAsia="Google Sans" w:hAnsi="Google Sans"/>
          <w:color w:val="1f1f1f"/>
          <w:rtl w:val="0"/>
        </w:rPr>
        <w:t xml:space="preserve"> </w:t>
      </w:r>
      <w:r w:rsidDel="00000000" w:rsidR="00000000" w:rsidRPr="00000000">
        <w:rPr>
          <w:rFonts w:ascii="Google Sans" w:cs="Google Sans" w:eastAsia="Google Sans" w:hAnsi="Google Sans"/>
          <w:color w:val="1f1f1f"/>
        </w:rPr>
        <w:drawing>
          <wp:inline distB="19050" distT="19050" distL="19050" distR="19050">
            <wp:extent cx="1791557" cy="254422"/>
            <wp:effectExtent b="0" l="0" r="0" t="0"/>
            <wp:docPr id="28" name="image21.png"/>
            <a:graphic>
              <a:graphicData uri="http://schemas.openxmlformats.org/drawingml/2006/picture">
                <pic:pic>
                  <pic:nvPicPr>
                    <pic:cNvPr id="0" name="image21.png"/>
                    <pic:cNvPicPr preferRelativeResize="0"/>
                  </pic:nvPicPr>
                  <pic:blipFill>
                    <a:blip r:embed="rId34"/>
                    <a:srcRect b="0" l="0" r="0" t="0"/>
                    <a:stretch>
                      <a:fillRect/>
                    </a:stretch>
                  </pic:blipFill>
                  <pic:spPr>
                    <a:xfrm>
                      <a:off x="0" y="0"/>
                      <a:ext cx="1791557" cy="25442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evaluates vertex quality scores and prunes unpromising or redundant subgraphs to conserve token budget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0">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4.2 Dynamic and Adaptive Reasoning Frameworks</w:t>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Standard GoT implementations use static graph execution structures</w:t>
      </w:r>
      <w:r w:rsidDel="00000000" w:rsidR="00000000" w:rsidRPr="00000000">
        <w:rPr>
          <w:rFonts w:ascii="Google Sans" w:cs="Google Sans" w:eastAsia="Google Sans" w:hAnsi="Google Sans"/>
          <w:color w:val="444746"/>
          <w:sz w:val="24"/>
          <w:szCs w:val="24"/>
          <w:vertAlign w:val="superscript"/>
          <w:rtl w:val="0"/>
        </w:rPr>
        <w:t xml:space="preserve">26</w:t>
      </w:r>
      <w:r w:rsidDel="00000000" w:rsidR="00000000" w:rsidRPr="00000000">
        <w:rPr>
          <w:rFonts w:ascii="Google Sans" w:cs="Google Sans" w:eastAsia="Google Sans" w:hAnsi="Google Sans"/>
          <w:color w:val="1f1f1f"/>
          <w:rtl w:val="0"/>
        </w:rPr>
        <w:t xml:space="preserve">. Advanced reasoning frameworks introduce dynamic and adaptive variations to optimize inference efficiency</w:t>
      </w:r>
      <w:r w:rsidDel="00000000" w:rsidR="00000000" w:rsidRPr="00000000">
        <w:rPr>
          <w:rFonts w:ascii="Google Sans" w:cs="Google Sans" w:eastAsia="Google Sans" w:hAnsi="Google Sans"/>
          <w:color w:val="444746"/>
          <w:sz w:val="24"/>
          <w:szCs w:val="24"/>
          <w:vertAlign w:val="superscript"/>
          <w:rtl w:val="0"/>
        </w:rPr>
        <w:t xml:space="preserve">26</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2">
      <w:pPr>
        <w:numPr>
          <w:ilvl w:val="0"/>
          <w:numId w:val="2"/>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Dynamic Graph of Thought (DGoT):</w:t>
      </w:r>
      <w:r w:rsidDel="00000000" w:rsidR="00000000" w:rsidRPr="00000000">
        <w:rPr>
          <w:rFonts w:ascii="Google Sans" w:cs="Google Sans" w:eastAsia="Google Sans" w:hAnsi="Google Sans"/>
          <w:color w:val="1f1f1f"/>
          <w:rtl w:val="0"/>
        </w:rPr>
        <w:t xml:space="preserve"> Adjusts the reasoning graph structure dynamically based on intermediate output confidence scores</w:t>
      </w:r>
      <w:r w:rsidDel="00000000" w:rsidR="00000000" w:rsidRPr="00000000">
        <w:rPr>
          <w:rFonts w:ascii="Google Sans" w:cs="Google Sans" w:eastAsia="Google Sans" w:hAnsi="Google Sans"/>
          <w:color w:val="444746"/>
          <w:sz w:val="24"/>
          <w:szCs w:val="24"/>
          <w:vertAlign w:val="superscript"/>
          <w:rtl w:val="0"/>
        </w:rPr>
        <w:t xml:space="preserve">26</w:t>
      </w:r>
      <w:r w:rsidDel="00000000" w:rsidR="00000000" w:rsidRPr="00000000">
        <w:rPr>
          <w:rFonts w:ascii="Google Sans" w:cs="Google Sans" w:eastAsia="Google Sans" w:hAnsi="Google Sans"/>
          <w:color w:val="1f1f1f"/>
          <w:rtl w:val="0"/>
        </w:rPr>
        <w:t xml:space="preserve">. In scientific literature summarization tasks, DGoT reduces model reasoning costs to 43.7%–56.4% of static multi-round prompting schemes while improving summary quality</w:t>
      </w:r>
      <w:r w:rsidDel="00000000" w:rsidR="00000000" w:rsidRPr="00000000">
        <w:rPr>
          <w:rFonts w:ascii="Google Sans" w:cs="Google Sans" w:eastAsia="Google Sans" w:hAnsi="Google Sans"/>
          <w:color w:val="444746"/>
          <w:sz w:val="24"/>
          <w:szCs w:val="24"/>
          <w:vertAlign w:val="superscript"/>
          <w:rtl w:val="0"/>
        </w:rPr>
        <w:t xml:space="preserve">26</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3">
      <w:pPr>
        <w:numPr>
          <w:ilvl w:val="0"/>
          <w:numId w:val="2"/>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Adaptive Graph of Thoughts (AGoT):</w:t>
      </w:r>
      <w:r w:rsidDel="00000000" w:rsidR="00000000" w:rsidRPr="00000000">
        <w:rPr>
          <w:rFonts w:ascii="Google Sans" w:cs="Google Sans" w:eastAsia="Google Sans" w:hAnsi="Google Sans"/>
          <w:color w:val="1f1f1f"/>
          <w:rtl w:val="0"/>
        </w:rPr>
        <w:t xml:space="preserve"> Utilizes Directed Acyclic Graphs (DAGs) with dynamic decomposition, evaluating task complexity at runtime to spawn parallel execution branches only when problem difficulty crosses defined thresholds</w:t>
      </w:r>
      <w:r w:rsidDel="00000000" w:rsidR="00000000" w:rsidRPr="00000000">
        <w:rPr>
          <w:rFonts w:ascii="Google Sans" w:cs="Google Sans" w:eastAsia="Google Sans" w:hAnsi="Google Sans"/>
          <w:color w:val="444746"/>
          <w:sz w:val="24"/>
          <w:szCs w:val="24"/>
          <w:vertAlign w:val="superscript"/>
          <w:rtl w:val="0"/>
        </w:rPr>
        <w:t xml:space="preserve">28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4">
      <w:pPr>
        <w:numPr>
          <w:ilvl w:val="0"/>
          <w:numId w:val="2"/>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ESCARGOT Framework:</w:t>
      </w:r>
      <w:r w:rsidDel="00000000" w:rsidR="00000000" w:rsidRPr="00000000">
        <w:rPr>
          <w:rFonts w:ascii="Google Sans" w:cs="Google Sans" w:eastAsia="Google Sans" w:hAnsi="Google Sans"/>
          <w:color w:val="1f1f1f"/>
          <w:rtl w:val="0"/>
        </w:rPr>
        <w:t xml:space="preserve"> Integrates dynamic GoT reasoning loops with knowledge graph retrieval to minimize hallucinations</w:t>
      </w:r>
      <w:r w:rsidDel="00000000" w:rsidR="00000000" w:rsidRPr="00000000">
        <w:rPr>
          <w:rFonts w:ascii="Google Sans" w:cs="Google Sans" w:eastAsia="Google Sans" w:hAnsi="Google Sans"/>
          <w:color w:val="444746"/>
          <w:sz w:val="24"/>
          <w:szCs w:val="24"/>
          <w:vertAlign w:val="superscript"/>
          <w:rtl w:val="0"/>
        </w:rPr>
        <w:t xml:space="preserve">9</w:t>
      </w:r>
      <w:r w:rsidDel="00000000" w:rsidR="00000000" w:rsidRPr="00000000">
        <w:rPr>
          <w:rFonts w:ascii="Google Sans" w:cs="Google Sans" w:eastAsia="Google Sans" w:hAnsi="Google Sans"/>
          <w:color w:val="1f1f1f"/>
          <w:rtl w:val="0"/>
        </w:rPr>
        <w:t xml:space="preserve">. ESCARGOT dynamically generates a GoT execution plan based on incoming user queries, executes the plan via a Python-based agent, and verifies claims against underlying knowledge graph triples</w:t>
      </w:r>
      <w:r w:rsidDel="00000000" w:rsidR="00000000" w:rsidRPr="00000000">
        <w:rPr>
          <w:rFonts w:ascii="Google Sans" w:cs="Google Sans" w:eastAsia="Google Sans" w:hAnsi="Google Sans"/>
          <w:color w:val="444746"/>
          <w:sz w:val="24"/>
          <w:szCs w:val="24"/>
          <w:vertAlign w:val="superscript"/>
          <w:rtl w:val="0"/>
        </w:rPr>
        <w:t xml:space="preserve">9</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Integrating GoT with a Knowledge Graph creates structural symmetry between the agent's internal cognitive process and the enterprise domain memory</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When an agent executes an aggregation operation, it queries the persistent knowledge graph using GQL pattern matching or PPR retrieval [cite: 2, 11.1, 43]. The retrieved subgraphs are bound directly to the GoT thought nodes as structural evidence spans, producing verifiable reasoning chains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6">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5. High-Performance Graph Engine Storage Landscape and Benchmarking</w:t>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Selecting the correct underlying database engine determines whether a graph architecture can scale to millions of edges while delivering real-time agent retrieval latencies [cite: 9.3, 24]. While embedded memory models are suitable for lightweight applications, enterprise GraphRAG systems require robust storage backends [cite: 9.3, 24, 41].</w:t>
      </w:r>
    </w:p>
    <w:p w:rsidR="00000000" w:rsidDel="00000000" w:rsidP="00000000" w:rsidRDefault="00000000" w:rsidRPr="00000000" w14:paraId="0000007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5.1 Storage Backend Architectural Comparison</w:t>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modern graph database landscape comprises embedded columnar engines, in-memory analytical databases, relational extensions, and distributed enterprise platforms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3"/>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Database Engine</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Architecture Type</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Query Language Support</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Multi-Hop Traversal Latency</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Primary Enterprise Use Case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DuckDB + CTEs</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Embedded Columnar OLAP [cite: 8,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SQL with Recursive CTEs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Moderate (</w:t>
            </w:r>
            <w:r w:rsidDel="00000000" w:rsidR="00000000" w:rsidRPr="00000000">
              <w:rPr>
                <w:rFonts w:ascii="Google Sans" w:cs="Google Sans" w:eastAsia="Google Sans" w:hAnsi="Google Sans"/>
                <w:color w:val="1f1f1f"/>
              </w:rPr>
              <w:drawing>
                <wp:inline distB="19050" distT="19050" distL="19050" distR="19050">
                  <wp:extent cx="428956" cy="225202"/>
                  <wp:effectExtent b="0" l="0" r="0" t="0"/>
                  <wp:docPr id="30" name="image30.png"/>
                  <a:graphic>
                    <a:graphicData uri="http://schemas.openxmlformats.org/drawingml/2006/picture">
                      <pic:pic>
                        <pic:nvPicPr>
                          <pic:cNvPr id="0" name="image30.png"/>
                          <pic:cNvPicPr preferRelativeResize="0"/>
                        </pic:nvPicPr>
                        <pic:blipFill>
                          <a:blip r:embed="rId35"/>
                          <a:srcRect b="0" l="0" r="0" t="0"/>
                          <a:stretch>
                            <a:fillRect/>
                          </a:stretch>
                        </pic:blipFill>
                        <pic:spPr>
                          <a:xfrm>
                            <a:off x="0" y="0"/>
                            <a:ext cx="428956" cy="225202"/>
                          </a:xfrm>
                          <a:prstGeom prst="rect"/>
                          <a:ln/>
                        </pic:spPr>
                      </pic:pic>
                    </a:graphicData>
                  </a:graphic>
                </wp:inline>
              </w:drawing>
            </w:r>
            <w:r w:rsidDel="00000000" w:rsidR="00000000" w:rsidRPr="00000000">
              <w:rPr>
                <w:rFonts w:ascii="Google Sans" w:cs="Google Sans" w:eastAsia="Google Sans" w:hAnsi="Google Sans"/>
                <w:color w:val="1f1f1f"/>
                <w:rtl w:val="0"/>
              </w:rPr>
              <w:t xml:space="preserve"> join expansion)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Local-first pipelines, analytical processing, Parquet native storage [cite: 8, 9.3].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LadybugDB / Kuzu</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Embedded Vectorized C++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Cypher / GQL Dialect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Ultra-Low (Factorized execution)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Single-node local embedded applications requiring high-speed graph queries [cite: 9.3].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Memgraph</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In-Memory C++ Engine</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openCypher / GQL compliant</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Extremely Low (In-memory pointers)</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Real-time agent memory, low-latency multi-hop graph traversals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Apache AGE</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PostgreSQL Extension</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openCypher embedded in SQL</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Moderate-Low (PostgreSQL indexing)</w:t>
            </w:r>
            <w:r w:rsidDel="00000000" w:rsidR="00000000" w:rsidRPr="00000000">
              <w:rPr>
                <w:rFonts w:ascii="Google Sans" w:cs="Google Sans" w:eastAsia="Google Sans" w:hAnsi="Google Sans"/>
                <w:color w:val="444746"/>
                <w:sz w:val="24"/>
                <w:szCs w:val="24"/>
                <w:vertAlign w:val="superscript"/>
                <w:rtl w:val="0"/>
              </w:rPr>
              <w:t xml:space="preserve">12</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Enterprise systems requiring strict ACID relational compliance + graph views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FalkorDB</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Redis-Module Graph Engine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openCypher / Low-latency API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Extremely Low (Sparse matrices) [cite: 9.3]</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Multi-tenant microservices, cache-layer graph RAG [cite: 9.3].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TigerGraph</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Distributed Native MPP</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GSQL / Distributed Queries</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High-Scale Low (Parallel partitioning)</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auto" w:val="clear"/>
            <w:tcMar>
              <w:top w:w="120.0" w:type="dxa"/>
              <w:left w:w="180.0" w:type="dxa"/>
              <w:bottom w:w="120.0" w:type="dxa"/>
              <w:right w:w="180.0" w:type="dxa"/>
            </w:tcMar>
            <w:vAlign w:val="top"/>
          </w:tcPr>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Ultra-large-scale graphs (&gt;10B vertices, 6+ hop analytical traversals)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w:t>
            </w:r>
          </w:p>
        </w:tc>
      </w:tr>
    </w:tbl>
    <w:p w:rsidR="00000000" w:rsidDel="00000000" w:rsidP="00000000" w:rsidRDefault="00000000" w:rsidRPr="00000000" w14:paraId="0000009E">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5.2 Architectural Selection Trade-offs</w:t>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For local-first or single-user applications, DuckDB paired with LadybugDB provides an optimal single-node storage architecture [cite: 8, 9.3]. DuckDB handles relational tabular data, Splink entity resolution, and vector Parquet storage, while LadybugDB executes low-latency Cypher/GQL traversals directly over shared memory-mapped files [cite: 8, 8.2, 9.3].</w:t>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For low-latency agentic services, Memgraph offers superior performance during multi-hop graph traversals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Operating in-memory using direct C++ pointer manipulation, Memgraph executes pattern matching and shortest-path calculations significantly faster than disk-bound engines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In enterprise environments requiring multi-tenant relational compliance, Apache AGE on PostgreSQL provides long-term stability by unifying relational tables, JSONB documents, and openCypher property graphs within a single ACID-compliant cluster</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A1">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6. Comprehensive Synthesis and Strategic Implementation Roadmap</w:t>
      </w:r>
    </w:p>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transform a baseline text extraction architecture into an enterprise-grade knowledge graph engine, systems architects must integrate standards compliance, vision parsing, security governance, dynamic reasoning, and high-performance storage into a unified execution framework</w:t>
      </w:r>
      <w:r w:rsidDel="00000000" w:rsidR="00000000" w:rsidRPr="00000000">
        <w:rPr>
          <w:rFonts w:ascii="Google Sans" w:cs="Google Sans" w:eastAsia="Google Sans" w:hAnsi="Google Sans"/>
          <w:color w:val="444746"/>
          <w:sz w:val="24"/>
          <w:szCs w:val="24"/>
          <w:vertAlign w:val="superscript"/>
          <w:rtl w:val="0"/>
        </w:rPr>
        <w:t xml:space="preserve">1</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pipeline operates across six integrated layers:</w:t>
      </w:r>
    </w:p>
    <w:p w:rsidR="00000000" w:rsidDel="00000000" w:rsidP="00000000" w:rsidRDefault="00000000" w:rsidRPr="00000000" w14:paraId="000000A4">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w:cs="Google Sans" w:eastAsia="Google Sans" w:hAnsi="Google Sans"/>
          <w:b w:val="1"/>
          <w:bCs w:val="1"/>
          <w:color w:val="1f1f1f"/>
          <w:rtl w:val="0"/>
        </w:rPr>
        <w:t xml:space="preserve">Layer 0 (Multimodal Ingestion):</w:t>
      </w:r>
      <w:r w:rsidDel="00000000" w:rsidR="00000000" w:rsidRPr="00000000">
        <w:rPr>
          <w:rFonts w:ascii="Google Sans" w:cs="Google Sans" w:eastAsia="Google Sans" w:hAnsi="Google Sans"/>
          <w:color w:val="1f1f1f"/>
          <w:rtl w:val="0"/>
        </w:rPr>
        <w:t xml:space="preserve"> Captures visually rich documents using layout parsers alongside ColPali or ColFlor late-interaction vision-language retrievers, storing multi-vector patch embeddings to preserve multi-column, chart, and table structures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A5">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w:cs="Google Sans" w:eastAsia="Google Sans" w:hAnsi="Google Sans"/>
          <w:b w:val="1"/>
          <w:bCs w:val="1"/>
          <w:color w:val="1f1f1f"/>
          <w:rtl w:val="0"/>
        </w:rPr>
        <w:t xml:space="preserve">Layer 1–3 (Stratified Extraction):</w:t>
      </w:r>
      <w:r w:rsidDel="00000000" w:rsidR="00000000" w:rsidRPr="00000000">
        <w:rPr>
          <w:rFonts w:ascii="Google Sans" w:cs="Google Sans" w:eastAsia="Google Sans" w:hAnsi="Google Sans"/>
          <w:color w:val="1f1f1f"/>
          <w:rtl w:val="0"/>
        </w:rPr>
        <w:t xml:space="preserve"> Combines zero-model deterministic structural parsing with CPU-runnable GLiNER-Relex encoder models for joint entity and relation extraction, stamping every edge with byte-level provenance and confidence tags [cite: 1, 6.1, 6.4].</w:t>
      </w:r>
    </w:p>
    <w:p w:rsidR="00000000" w:rsidDel="00000000" w:rsidP="00000000" w:rsidRDefault="00000000" w:rsidRPr="00000000" w14:paraId="000000A6">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w:cs="Google Sans" w:eastAsia="Google Sans" w:hAnsi="Google Sans"/>
          <w:b w:val="1"/>
          <w:bCs w:val="1"/>
          <w:color w:val="1f1f1f"/>
          <w:rtl w:val="0"/>
        </w:rPr>
        <w:t xml:space="preserve">Layer 4 (Entity Resolution):</w:t>
      </w:r>
      <w:r w:rsidDel="00000000" w:rsidR="00000000" w:rsidRPr="00000000">
        <w:rPr>
          <w:rFonts w:ascii="Google Sans" w:cs="Google Sans" w:eastAsia="Google Sans" w:hAnsi="Google Sans"/>
          <w:color w:val="1f1f1f"/>
          <w:rtl w:val="0"/>
        </w:rPr>
        <w:t xml:space="preserve"> Executes unsupervised probabilistic blocking via Splink alongside relational feature scoring, clustering mentions into canonical entity lattices without destructive deletion [cite: 8.2, 8.3].</w:t>
      </w:r>
    </w:p>
    <w:p w:rsidR="00000000" w:rsidDel="00000000" w:rsidP="00000000" w:rsidRDefault="00000000" w:rsidRPr="00000000" w14:paraId="000000A7">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w:cs="Google Sans" w:eastAsia="Google Sans" w:hAnsi="Google Sans"/>
          <w:b w:val="1"/>
          <w:bCs w:val="1"/>
          <w:color w:val="1f1f1f"/>
          <w:rtl w:val="0"/>
        </w:rPr>
        <w:t xml:space="preserve">Layer 5 (Security-Aware Storage):</w:t>
      </w:r>
      <w:r w:rsidDel="00000000" w:rsidR="00000000" w:rsidRPr="00000000">
        <w:rPr>
          <w:rFonts w:ascii="Google Sans" w:cs="Google Sans" w:eastAsia="Google Sans" w:hAnsi="Google Sans"/>
          <w:color w:val="1f1f1f"/>
          <w:rtl w:val="0"/>
        </w:rPr>
        <w:t xml:space="preserve"> Persists property graphs in GQL-compliant engines (such as Memgraph or LadybugDB), enforcing dynamic ReBAC and ABAC permission checks during traversal and PageRank calculation [cite: 2, 9.3, 15, 22].</w:t>
      </w:r>
    </w:p>
    <w:p w:rsidR="00000000" w:rsidDel="00000000" w:rsidP="00000000" w:rsidRDefault="00000000" w:rsidRPr="00000000" w14:paraId="000000A8">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w:cs="Google Sans" w:eastAsia="Google Sans" w:hAnsi="Google Sans"/>
          <w:b w:val="1"/>
          <w:bCs w:val="1"/>
          <w:color w:val="1f1f1f"/>
          <w:rtl w:val="0"/>
        </w:rPr>
        <w:t xml:space="preserve">Layer 6 (Dynamic Agent Reasoning):</w:t>
      </w:r>
      <w:r w:rsidDel="00000000" w:rsidR="00000000" w:rsidRPr="00000000">
        <w:rPr>
          <w:rFonts w:ascii="Google Sans" w:cs="Google Sans" w:eastAsia="Google Sans" w:hAnsi="Google Sans"/>
          <w:color w:val="1f1f1f"/>
          <w:rtl w:val="0"/>
        </w:rPr>
        <w:t xml:space="preserve"> Exposes graph capabilities to autonomous agents through Model Context Protocol (MCP) tools, anchoring agentic Graph-of-Thoughts (GoT) reasoning loops to verifiable knowledge graph evidence chains [cite: 11.4, 24, 43, 48].</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spacing w:after="255"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Implementing this architecture unfolds across four sequential phases. Phase 1 focuses on storage migration to DuckDB and LadybugDB while implementing an ISO/IEC 39075 GQL pattern-matching translation layer [cite: 2, 7, 9.3]. Phase 2 integrates visual document retrievers (ColPali) to handle complex document layouts without text-only OCR degradation</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Phase 3 deploys fine-grained security policies using ReBAC models, embedding authorization filters into Personalized PageRank traversals</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Finally, Phase 4 connects the knowledge graph to autonomous agents via dynamic Graph-of-Thoughts reasoning loops, providing auditable multi-hop context retrieval across enterprise domains</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AA">
      <w:pPr>
        <w:pStyle w:val="Heading4"/>
        <w:pBdr>
          <w:top w:space="0" w:sz="0" w:val="nil"/>
          <w:left w:space="0" w:sz="0" w:val="nil"/>
          <w:bottom w:space="0" w:sz="0" w:val="nil"/>
          <w:right w:space="0" w:sz="0" w:val="nil"/>
          <w:between w:space="0" w:sz="0" w:val="nil"/>
        </w:pBdr>
        <w:shd w:fill="auto" w:val="clear"/>
        <w:spacing w:before="0"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Works cited</w:t>
      </w:r>
    </w:p>
    <w:p w:rsidR="00000000" w:rsidDel="00000000" w:rsidP="00000000" w:rsidRDefault="00000000" w:rsidRPr="00000000" w14:paraId="000000AB">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textgraph-engineering-research.md</w:t>
      </w:r>
    </w:p>
    <w:p w:rsidR="00000000" w:rsidDel="00000000" w:rsidP="00000000" w:rsidRDefault="00000000" w:rsidRPr="00000000" w14:paraId="000000AC">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Update on the development of Database languages-GQL - INCITS, </w:t>
      </w:r>
      <w:hyperlink r:id="rId36">
        <w:r w:rsidDel="00000000" w:rsidR="00000000" w:rsidRPr="00000000">
          <w:rPr>
            <w:rFonts w:ascii="Google Sans" w:cs="Google Sans" w:eastAsia="Google Sans" w:hAnsi="Google Sans"/>
            <w:color w:val="0000ee"/>
            <w:sz w:val="24"/>
            <w:szCs w:val="24"/>
            <w:u w:val="single"/>
            <w:rtl w:val="0"/>
          </w:rPr>
          <w:t xml:space="preserve">https://www.incits.org/news-events/news-coverage/update-on-the-development-of-database-languagesgql</w:t>
        </w:r>
      </w:hyperlink>
      <w:r w:rsidDel="00000000" w:rsidR="00000000" w:rsidRPr="00000000">
        <w:rPr>
          <w:rtl w:val="0"/>
        </w:rPr>
      </w:r>
    </w:p>
    <w:p w:rsidR="00000000" w:rsidDel="00000000" w:rsidP="00000000" w:rsidRDefault="00000000" w:rsidRPr="00000000" w14:paraId="000000AD">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Graph Query Language - Wikipedia, </w:t>
      </w:r>
      <w:hyperlink r:id="rId37">
        <w:r w:rsidDel="00000000" w:rsidR="00000000" w:rsidRPr="00000000">
          <w:rPr>
            <w:rFonts w:ascii="Google Sans" w:cs="Google Sans" w:eastAsia="Google Sans" w:hAnsi="Google Sans"/>
            <w:color w:val="0000ee"/>
            <w:sz w:val="24"/>
            <w:szCs w:val="24"/>
            <w:u w:val="single"/>
            <w:rtl w:val="0"/>
          </w:rPr>
          <w:t xml:space="preserve">https://en.wikipedia.org/wiki/Graph_Query_Language</w:t>
        </w:r>
      </w:hyperlink>
      <w:r w:rsidDel="00000000" w:rsidR="00000000" w:rsidRPr="00000000">
        <w:rPr>
          <w:rtl w:val="0"/>
        </w:rPr>
      </w:r>
    </w:p>
    <w:p w:rsidR="00000000" w:rsidDel="00000000" w:rsidP="00000000" w:rsidRDefault="00000000" w:rsidRPr="00000000" w14:paraId="000000AE">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Late Interaction &amp; Efficient Multi-modal Retrievers Need More Than a Vector Index, </w:t>
      </w:r>
      <w:hyperlink r:id="rId38">
        <w:r w:rsidDel="00000000" w:rsidR="00000000" w:rsidRPr="00000000">
          <w:rPr>
            <w:rFonts w:ascii="Google Sans" w:cs="Google Sans" w:eastAsia="Google Sans" w:hAnsi="Google Sans"/>
            <w:color w:val="0000ee"/>
            <w:sz w:val="24"/>
            <w:szCs w:val="24"/>
            <w:u w:val="single"/>
            <w:rtl w:val="0"/>
          </w:rPr>
          <w:t xml:space="preserve">https://www.lancedb.com/blog/late-interaction-efficient-multi-modal-retrievers-need-more-than-just-a-vector-index</w:t>
        </w:r>
      </w:hyperlink>
      <w:r w:rsidDel="00000000" w:rsidR="00000000" w:rsidRPr="00000000">
        <w:rPr>
          <w:rtl w:val="0"/>
        </w:rPr>
      </w:r>
    </w:p>
    <w:p w:rsidR="00000000" w:rsidDel="00000000" w:rsidP="00000000" w:rsidRDefault="00000000" w:rsidRPr="00000000" w14:paraId="000000AF">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ViDoRe V3: A Comprehensive Evaluation of Retrieval Augmented Generation in Complex Real-World Scenarios - arXiv, </w:t>
      </w:r>
      <w:hyperlink r:id="rId39">
        <w:r w:rsidDel="00000000" w:rsidR="00000000" w:rsidRPr="00000000">
          <w:rPr>
            <w:rFonts w:ascii="Google Sans" w:cs="Google Sans" w:eastAsia="Google Sans" w:hAnsi="Google Sans"/>
            <w:color w:val="0000ee"/>
            <w:sz w:val="24"/>
            <w:szCs w:val="24"/>
            <w:u w:val="single"/>
            <w:rtl w:val="0"/>
          </w:rPr>
          <w:t xml:space="preserve">https://arxiv.org/html/2601.08620v2</w:t>
        </w:r>
      </w:hyperlink>
      <w:r w:rsidDel="00000000" w:rsidR="00000000" w:rsidRPr="00000000">
        <w:rPr>
          <w:rtl w:val="0"/>
        </w:rPr>
      </w:r>
    </w:p>
    <w:p w:rsidR="00000000" w:rsidDel="00000000" w:rsidP="00000000" w:rsidRDefault="00000000" w:rsidRPr="00000000" w14:paraId="000000B0">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Best iLock Security Services Alternatives &amp; Competitors - SourceForge, </w:t>
      </w:r>
      <w:hyperlink r:id="rId40">
        <w:r w:rsidDel="00000000" w:rsidR="00000000" w:rsidRPr="00000000">
          <w:rPr>
            <w:rFonts w:ascii="Google Sans" w:cs="Google Sans" w:eastAsia="Google Sans" w:hAnsi="Google Sans"/>
            <w:color w:val="0000ee"/>
            <w:sz w:val="24"/>
            <w:szCs w:val="24"/>
            <w:u w:val="single"/>
            <w:rtl w:val="0"/>
          </w:rPr>
          <w:t xml:space="preserve">https://sourceforge.net/software/product/iLock-Security-Services/alternatives</w:t>
        </w:r>
      </w:hyperlink>
      <w:r w:rsidDel="00000000" w:rsidR="00000000" w:rsidRPr="00000000">
        <w:rPr>
          <w:rtl w:val="0"/>
        </w:rPr>
      </w:r>
    </w:p>
    <w:p w:rsidR="00000000" w:rsidDel="00000000" w:rsidP="00000000" w:rsidRDefault="00000000" w:rsidRPr="00000000" w14:paraId="000000B1">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Technique Archives - VeoNum, </w:t>
      </w:r>
      <w:hyperlink r:id="rId41">
        <w:r w:rsidDel="00000000" w:rsidR="00000000" w:rsidRPr="00000000">
          <w:rPr>
            <w:rFonts w:ascii="Google Sans" w:cs="Google Sans" w:eastAsia="Google Sans" w:hAnsi="Google Sans"/>
            <w:color w:val="0000ee"/>
            <w:sz w:val="24"/>
            <w:szCs w:val="24"/>
            <w:u w:val="single"/>
            <w:rtl w:val="0"/>
          </w:rPr>
          <w:t xml:space="preserve">https://www.veonum.com/en/cat/technique/</w:t>
        </w:r>
      </w:hyperlink>
      <w:r w:rsidDel="00000000" w:rsidR="00000000" w:rsidRPr="00000000">
        <w:rPr>
          <w:rtl w:val="0"/>
        </w:rPr>
      </w:r>
    </w:p>
    <w:p w:rsidR="00000000" w:rsidDel="00000000" w:rsidP="00000000" w:rsidRDefault="00000000" w:rsidRPr="00000000" w14:paraId="000000B2">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Graph of Thoughts (GoT) Framework - Emergent Mind, </w:t>
      </w:r>
      <w:hyperlink r:id="rId42">
        <w:r w:rsidDel="00000000" w:rsidR="00000000" w:rsidRPr="00000000">
          <w:rPr>
            <w:rFonts w:ascii="Google Sans" w:cs="Google Sans" w:eastAsia="Google Sans" w:hAnsi="Google Sans"/>
            <w:color w:val="0000ee"/>
            <w:sz w:val="24"/>
            <w:szCs w:val="24"/>
            <w:u w:val="single"/>
            <w:rtl w:val="0"/>
          </w:rPr>
          <w:t xml:space="preserve">https://www.emergentmind.com/topics/graph-of-thoughts-got</w:t>
        </w:r>
      </w:hyperlink>
      <w:r w:rsidDel="00000000" w:rsidR="00000000" w:rsidRPr="00000000">
        <w:rPr>
          <w:rtl w:val="0"/>
        </w:rPr>
      </w:r>
    </w:p>
    <w:p w:rsidR="00000000" w:rsidDel="00000000" w:rsidP="00000000" w:rsidRDefault="00000000" w:rsidRPr="00000000" w14:paraId="000000B3">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ESCARGOT: an AI agent leveraging large language models, dynamic graph of thoughts, and biomedical knowledge graphs for enhanced reasoning | Bioinformatics | Oxford Academic, </w:t>
      </w:r>
      <w:hyperlink r:id="rId43">
        <w:r w:rsidDel="00000000" w:rsidR="00000000" w:rsidRPr="00000000">
          <w:rPr>
            <w:rFonts w:ascii="Google Sans" w:cs="Google Sans" w:eastAsia="Google Sans" w:hAnsi="Google Sans"/>
            <w:color w:val="0000ee"/>
            <w:sz w:val="24"/>
            <w:szCs w:val="24"/>
            <w:u w:val="single"/>
            <w:rtl w:val="0"/>
          </w:rPr>
          <w:t xml:space="preserve">https://academic.oup.com/bioinformatics/article/41/2/btaf031/7972741</w:t>
        </w:r>
      </w:hyperlink>
      <w:r w:rsidDel="00000000" w:rsidR="00000000" w:rsidRPr="00000000">
        <w:rPr>
          <w:rtl w:val="0"/>
        </w:rPr>
      </w:r>
    </w:p>
    <w:p w:rsidR="00000000" w:rsidDel="00000000" w:rsidP="00000000" w:rsidRDefault="00000000" w:rsidRPr="00000000" w14:paraId="000000B4">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Exploration of Augmentation Strategies in Multi-modal Retrieval-Augmented Generation for the Biomedical Domain* *A Case Study Evaluating Question Answering in Glycobiology This work was supported by European Union under Horizon Europe [grant number 101159018] and EuroHPC JU [grant number 101101903]; by University of Maribor under the 2023 internal call Strengthening Researchers' Programme Cores, field of Data Science and Artificial Intelligence in Biomedicine - arXiv, </w:t>
      </w:r>
      <w:hyperlink r:id="rId44">
        <w:r w:rsidDel="00000000" w:rsidR="00000000" w:rsidRPr="00000000">
          <w:rPr>
            <w:rFonts w:ascii="Google Sans" w:cs="Google Sans" w:eastAsia="Google Sans" w:hAnsi="Google Sans"/>
            <w:color w:val="0000ee"/>
            <w:sz w:val="24"/>
            <w:szCs w:val="24"/>
            <w:u w:val="single"/>
            <w:rtl w:val="0"/>
          </w:rPr>
          <w:t xml:space="preserve">https://arxiv.org/html/2512.16802v1</w:t>
        </w:r>
      </w:hyperlink>
      <w:r w:rsidDel="00000000" w:rsidR="00000000" w:rsidRPr="00000000">
        <w:rPr>
          <w:rtl w:val="0"/>
        </w:rPr>
      </w:r>
    </w:p>
    <w:p w:rsidR="00000000" w:rsidDel="00000000" w:rsidP="00000000" w:rsidRDefault="00000000" w:rsidRPr="00000000" w14:paraId="000000B5">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Enterprise Digital Twin Architecture: Implementation Guide for AI Systems, </w:t>
      </w:r>
      <w:hyperlink r:id="rId45">
        <w:r w:rsidDel="00000000" w:rsidR="00000000" w:rsidRPr="00000000">
          <w:rPr>
            <w:rFonts w:ascii="Google Sans" w:cs="Google Sans" w:eastAsia="Google Sans" w:hAnsi="Google Sans"/>
            <w:color w:val="0000ee"/>
            <w:sz w:val="24"/>
            <w:szCs w:val="24"/>
            <w:u w:val="single"/>
            <w:rtl w:val="0"/>
          </w:rPr>
          <w:t xml:space="preserve">https://ajithp.com/2026/01/11/enterprise-digital-twin-architecture-implementation-guide/</w:t>
        </w:r>
      </w:hyperlink>
      <w:r w:rsidDel="00000000" w:rsidR="00000000" w:rsidRPr="00000000">
        <w:rPr>
          <w:rtl w:val="0"/>
        </w:rPr>
      </w:r>
    </w:p>
    <w:p w:rsidR="00000000" w:rsidDel="00000000" w:rsidP="00000000" w:rsidRDefault="00000000" w:rsidRPr="00000000" w14:paraId="000000B6">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SQL vs NoSQL: Which Database Is Right for Your Business, </w:t>
      </w:r>
      <w:hyperlink r:id="rId46">
        <w:r w:rsidDel="00000000" w:rsidR="00000000" w:rsidRPr="00000000">
          <w:rPr>
            <w:rFonts w:ascii="Google Sans" w:cs="Google Sans" w:eastAsia="Google Sans" w:hAnsi="Google Sans"/>
            <w:color w:val="0000ee"/>
            <w:sz w:val="24"/>
            <w:szCs w:val="24"/>
            <w:u w:val="single"/>
            <w:rtl w:val="0"/>
          </w:rPr>
          <w:t xml:space="preserve">https://blog.gramosoft.tech/blog/sql-vs-nosql-which-database-is-right-for-your-business/</w:t>
        </w:r>
      </w:hyperlink>
      <w:r w:rsidDel="00000000" w:rsidR="00000000" w:rsidRPr="00000000">
        <w:rPr>
          <w:rtl w:val="0"/>
        </w:rPr>
      </w:r>
    </w:p>
    <w:p w:rsidR="00000000" w:rsidDel="00000000" w:rsidP="00000000" w:rsidRDefault="00000000" w:rsidRPr="00000000" w14:paraId="000000B7">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Bullshit graph database performance benchmarks - Hacker News, </w:t>
      </w:r>
      <w:hyperlink r:id="rId47">
        <w:r w:rsidDel="00000000" w:rsidR="00000000" w:rsidRPr="00000000">
          <w:rPr>
            <w:rFonts w:ascii="Google Sans" w:cs="Google Sans" w:eastAsia="Google Sans" w:hAnsi="Google Sans"/>
            <w:color w:val="0000ee"/>
            <w:sz w:val="24"/>
            <w:szCs w:val="24"/>
            <w:u w:val="single"/>
            <w:rtl w:val="0"/>
          </w:rPr>
          <w:t xml:space="preserve">https://news.ycombinator.com/item?id=34342371</w:t>
        </w:r>
      </w:hyperlink>
      <w:r w:rsidDel="00000000" w:rsidR="00000000" w:rsidRPr="00000000">
        <w:rPr>
          <w:rtl w:val="0"/>
        </w:rPr>
      </w:r>
    </w:p>
    <w:p w:rsidR="00000000" w:rsidDel="00000000" w:rsidP="00000000" w:rsidRDefault="00000000" w:rsidRPr="00000000" w14:paraId="000000B8">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Multi-Agent GraphRAG: A Text-to-Cypher Framework for Labeled Property Graphs - arXiv, </w:t>
      </w:r>
      <w:hyperlink r:id="rId48">
        <w:r w:rsidDel="00000000" w:rsidR="00000000" w:rsidRPr="00000000">
          <w:rPr>
            <w:rFonts w:ascii="Google Sans" w:cs="Google Sans" w:eastAsia="Google Sans" w:hAnsi="Google Sans"/>
            <w:color w:val="0000ee"/>
            <w:sz w:val="24"/>
            <w:szCs w:val="24"/>
            <w:u w:val="single"/>
            <w:rtl w:val="0"/>
          </w:rPr>
          <w:t xml:space="preserve">https://arxiv.org/html/2511.08274v1</w:t>
        </w:r>
      </w:hyperlink>
      <w:r w:rsidDel="00000000" w:rsidR="00000000" w:rsidRPr="00000000">
        <w:rPr>
          <w:rtl w:val="0"/>
        </w:rPr>
      </w:r>
    </w:p>
    <w:p w:rsidR="00000000" w:rsidDel="00000000" w:rsidP="00000000" w:rsidRDefault="00000000" w:rsidRPr="00000000" w14:paraId="000000B9">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Understanding GQL: A Comprehensive Overview of the Standard Graph Query Language, </w:t>
      </w:r>
      <w:hyperlink r:id="rId49">
        <w:r w:rsidDel="00000000" w:rsidR="00000000" w:rsidRPr="00000000">
          <w:rPr>
            <w:rFonts w:ascii="Google Sans" w:cs="Google Sans" w:eastAsia="Google Sans" w:hAnsi="Google Sans"/>
            <w:color w:val="0000ee"/>
            <w:sz w:val="24"/>
            <w:szCs w:val="24"/>
            <w:u w:val="single"/>
            <w:rtl w:val="0"/>
          </w:rPr>
          <w:t xml:space="preserve">https://nebula-graph.io/posts/understanding-gql-a-comprehensive-overview-of-the-standard-graph-query-language</w:t>
        </w:r>
      </w:hyperlink>
      <w:r w:rsidDel="00000000" w:rsidR="00000000" w:rsidRPr="00000000">
        <w:rPr>
          <w:rtl w:val="0"/>
        </w:rPr>
      </w:r>
    </w:p>
    <w:p w:rsidR="00000000" w:rsidDel="00000000" w:rsidP="00000000" w:rsidRDefault="00000000" w:rsidRPr="00000000" w14:paraId="000000BA">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ISO/IEC 39075 Database Language GQL - JTC 1, </w:t>
      </w:r>
      <w:hyperlink r:id="rId50">
        <w:r w:rsidDel="00000000" w:rsidR="00000000" w:rsidRPr="00000000">
          <w:rPr>
            <w:rFonts w:ascii="Google Sans" w:cs="Google Sans" w:eastAsia="Google Sans" w:hAnsi="Google Sans"/>
            <w:color w:val="0000ee"/>
            <w:sz w:val="24"/>
            <w:szCs w:val="24"/>
            <w:u w:val="single"/>
            <w:rtl w:val="0"/>
          </w:rPr>
          <w:t xml:space="preserve">https://jtc1info.org/wp-content/uploads/2024/04/2024-Article-39075-Database-Language-GQL.docx.pdf</w:t>
        </w:r>
      </w:hyperlink>
      <w:r w:rsidDel="00000000" w:rsidR="00000000" w:rsidRPr="00000000">
        <w:rPr>
          <w:rtl w:val="0"/>
        </w:rPr>
      </w:r>
    </w:p>
    <w:p w:rsidR="00000000" w:rsidDel="00000000" w:rsidP="00000000" w:rsidRDefault="00000000" w:rsidRPr="00000000" w14:paraId="000000BB">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ISO/IEC 39075 Standard Overview | PDF | Resource Description Framework - Scribd, </w:t>
      </w:r>
      <w:hyperlink r:id="rId51">
        <w:r w:rsidDel="00000000" w:rsidR="00000000" w:rsidRPr="00000000">
          <w:rPr>
            <w:rFonts w:ascii="Google Sans" w:cs="Google Sans" w:eastAsia="Google Sans" w:hAnsi="Google Sans"/>
            <w:color w:val="0000ee"/>
            <w:sz w:val="24"/>
            <w:szCs w:val="24"/>
            <w:u w:val="single"/>
            <w:rtl w:val="0"/>
          </w:rPr>
          <w:t xml:space="preserve">https://www.scribd.com/document/880750590/553-Graph-Databases</w:t>
        </w:r>
      </w:hyperlink>
      <w:r w:rsidDel="00000000" w:rsidR="00000000" w:rsidRPr="00000000">
        <w:rPr>
          <w:rtl w:val="0"/>
        </w:rPr>
      </w:r>
    </w:p>
    <w:p w:rsidR="00000000" w:rsidDel="00000000" w:rsidP="00000000" w:rsidRDefault="00000000" w:rsidRPr="00000000" w14:paraId="000000BC">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GQL Language Guide for graph in Microsoft Fabric, </w:t>
      </w:r>
      <w:hyperlink r:id="rId52">
        <w:r w:rsidDel="00000000" w:rsidR="00000000" w:rsidRPr="00000000">
          <w:rPr>
            <w:rFonts w:ascii="Google Sans" w:cs="Google Sans" w:eastAsia="Google Sans" w:hAnsi="Google Sans"/>
            <w:color w:val="0000ee"/>
            <w:sz w:val="24"/>
            <w:szCs w:val="24"/>
            <w:u w:val="single"/>
            <w:rtl w:val="0"/>
          </w:rPr>
          <w:t xml:space="preserve">https://learn.microsoft.com/en-us/fabric/graph/gql-language-guide</w:t>
        </w:r>
      </w:hyperlink>
      <w:r w:rsidDel="00000000" w:rsidR="00000000" w:rsidRPr="00000000">
        <w:rPr>
          <w:rtl w:val="0"/>
        </w:rPr>
      </w:r>
    </w:p>
    <w:p w:rsidR="00000000" w:rsidDel="00000000" w:rsidP="00000000" w:rsidRDefault="00000000" w:rsidRPr="00000000" w14:paraId="000000BD">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Graph Database Explained - Airbyte, </w:t>
      </w:r>
      <w:hyperlink r:id="rId53">
        <w:r w:rsidDel="00000000" w:rsidR="00000000" w:rsidRPr="00000000">
          <w:rPr>
            <w:rFonts w:ascii="Google Sans" w:cs="Google Sans" w:eastAsia="Google Sans" w:hAnsi="Google Sans"/>
            <w:color w:val="0000ee"/>
            <w:sz w:val="24"/>
            <w:szCs w:val="24"/>
            <w:u w:val="single"/>
            <w:rtl w:val="0"/>
          </w:rPr>
          <w:t xml:space="preserve">https://airbyte.com/agentic-data/graph-database</w:t>
        </w:r>
      </w:hyperlink>
      <w:r w:rsidDel="00000000" w:rsidR="00000000" w:rsidRPr="00000000">
        <w:rPr>
          <w:rtl w:val="0"/>
        </w:rPr>
      </w:r>
    </w:p>
    <w:p w:rsidR="00000000" w:rsidDel="00000000" w:rsidP="00000000" w:rsidRDefault="00000000" w:rsidRPr="00000000" w14:paraId="000000BE">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VRDU: A Benchmark for Visually-rich Document Understanding - ResearchGate, </w:t>
      </w:r>
      <w:hyperlink r:id="rId54">
        <w:r w:rsidDel="00000000" w:rsidR="00000000" w:rsidRPr="00000000">
          <w:rPr>
            <w:rFonts w:ascii="Google Sans" w:cs="Google Sans" w:eastAsia="Google Sans" w:hAnsi="Google Sans"/>
            <w:color w:val="0000ee"/>
            <w:sz w:val="24"/>
            <w:szCs w:val="24"/>
            <w:u w:val="single"/>
            <w:rtl w:val="0"/>
          </w:rPr>
          <w:t xml:space="preserve">https://www.researchgate.net/publication/372910870_VRDU_A_Benchmark_for_Visually-rich_Document_Understanding</w:t>
        </w:r>
      </w:hyperlink>
      <w:r w:rsidDel="00000000" w:rsidR="00000000" w:rsidRPr="00000000">
        <w:rPr>
          <w:rtl w:val="0"/>
        </w:rPr>
      </w:r>
    </w:p>
    <w:p w:rsidR="00000000" w:rsidDel="00000000" w:rsidP="00000000" w:rsidRDefault="00000000" w:rsidRPr="00000000" w14:paraId="000000BF">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ViDoRe V3: A Comprehensive Evaluation of Retrieval Augmented Generation in Complex Real-World Scenarios - ACL Anthology, </w:t>
      </w:r>
      <w:hyperlink r:id="rId55">
        <w:r w:rsidDel="00000000" w:rsidR="00000000" w:rsidRPr="00000000">
          <w:rPr>
            <w:rFonts w:ascii="Google Sans" w:cs="Google Sans" w:eastAsia="Google Sans" w:hAnsi="Google Sans"/>
            <w:color w:val="0000ee"/>
            <w:sz w:val="24"/>
            <w:szCs w:val="24"/>
            <w:u w:val="single"/>
            <w:rtl w:val="0"/>
          </w:rPr>
          <w:t xml:space="preserve">https://aclanthology.org/2026.acl-long.755.pdf</w:t>
        </w:r>
      </w:hyperlink>
      <w:r w:rsidDel="00000000" w:rsidR="00000000" w:rsidRPr="00000000">
        <w:rPr>
          <w:rtl w:val="0"/>
        </w:rPr>
      </w:r>
    </w:p>
    <w:p w:rsidR="00000000" w:rsidDel="00000000" w:rsidP="00000000" w:rsidRDefault="00000000" w:rsidRPr="00000000" w14:paraId="000000C0">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Hierarchical Evidence-Driven Reasoning for Long Document Understanding - arXiv, </w:t>
      </w:r>
      <w:hyperlink r:id="rId56">
        <w:r w:rsidDel="00000000" w:rsidR="00000000" w:rsidRPr="00000000">
          <w:rPr>
            <w:rFonts w:ascii="Google Sans" w:cs="Google Sans" w:eastAsia="Google Sans" w:hAnsi="Google Sans"/>
            <w:color w:val="0000ee"/>
            <w:sz w:val="24"/>
            <w:szCs w:val="24"/>
            <w:u w:val="single"/>
            <w:rtl w:val="0"/>
          </w:rPr>
          <w:t xml:space="preserve">https://arxiv.org/pdf/2607.04625</w:t>
        </w:r>
      </w:hyperlink>
      <w:r w:rsidDel="00000000" w:rsidR="00000000" w:rsidRPr="00000000">
        <w:rPr>
          <w:rtl w:val="0"/>
        </w:rPr>
      </w:r>
    </w:p>
    <w:p w:rsidR="00000000" w:rsidDel="00000000" w:rsidP="00000000" w:rsidRDefault="00000000" w:rsidRPr="00000000" w14:paraId="000000C1">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Amazon Cognito - Noise, </w:t>
      </w:r>
      <w:hyperlink r:id="rId57">
        <w:r w:rsidDel="00000000" w:rsidR="00000000" w:rsidRPr="00000000">
          <w:rPr>
            <w:rFonts w:ascii="Google Sans" w:cs="Google Sans" w:eastAsia="Google Sans" w:hAnsi="Google Sans"/>
            <w:color w:val="0000ee"/>
            <w:sz w:val="24"/>
            <w:szCs w:val="24"/>
            <w:u w:val="single"/>
            <w:rtl w:val="0"/>
          </w:rPr>
          <w:t xml:space="preserve">https://noise.getoto.net/tag/amazon-cognito/</w:t>
        </w:r>
      </w:hyperlink>
      <w:r w:rsidDel="00000000" w:rsidR="00000000" w:rsidRPr="00000000">
        <w:rPr>
          <w:rtl w:val="0"/>
        </w:rPr>
      </w:r>
    </w:p>
    <w:p w:rsidR="00000000" w:rsidDel="00000000" w:rsidP="00000000" w:rsidRDefault="00000000" w:rsidRPr="00000000" w14:paraId="000000C2">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Top iLock Security Services Alternatives in 2026, </w:t>
      </w:r>
      <w:hyperlink r:id="rId58">
        <w:r w:rsidDel="00000000" w:rsidR="00000000" w:rsidRPr="00000000">
          <w:rPr>
            <w:rFonts w:ascii="Google Sans" w:cs="Google Sans" w:eastAsia="Google Sans" w:hAnsi="Google Sans"/>
            <w:color w:val="0000ee"/>
            <w:sz w:val="24"/>
            <w:szCs w:val="24"/>
            <w:u w:val="single"/>
            <w:rtl w:val="0"/>
          </w:rPr>
          <w:t xml:space="preserve">https://slashdot.org/software/p/iLock-Security-Services/alternatives</w:t>
        </w:r>
      </w:hyperlink>
      <w:r w:rsidDel="00000000" w:rsidR="00000000" w:rsidRPr="00000000">
        <w:rPr>
          <w:rtl w:val="0"/>
        </w:rPr>
      </w:r>
    </w:p>
    <w:p w:rsidR="00000000" w:rsidDel="00000000" w:rsidP="00000000" w:rsidRDefault="00000000" w:rsidRPr="00000000" w14:paraId="000000C3">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Graph of Thoughts: Enhancing LLM Reasoning | PDF - Scribd, </w:t>
      </w:r>
      <w:hyperlink r:id="rId59">
        <w:r w:rsidDel="00000000" w:rsidR="00000000" w:rsidRPr="00000000">
          <w:rPr>
            <w:rFonts w:ascii="Google Sans" w:cs="Google Sans" w:eastAsia="Google Sans" w:hAnsi="Google Sans"/>
            <w:color w:val="0000ee"/>
            <w:sz w:val="24"/>
            <w:szCs w:val="24"/>
            <w:u w:val="single"/>
            <w:rtl w:val="0"/>
          </w:rPr>
          <w:t xml:space="preserve">https://www.scribd.com/document/668584849/2308-09687</w:t>
        </w:r>
      </w:hyperlink>
      <w:r w:rsidDel="00000000" w:rsidR="00000000" w:rsidRPr="00000000">
        <w:rPr>
          <w:rtl w:val="0"/>
        </w:rPr>
      </w:r>
    </w:p>
    <w:p w:rsidR="00000000" w:rsidDel="00000000" w:rsidP="00000000" w:rsidRDefault="00000000" w:rsidRPr="00000000" w14:paraId="000000C4">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DGoT: Dynamic Graph of Thoughts for Scientific Abstract Generation - ACL Anthology, </w:t>
      </w:r>
      <w:hyperlink r:id="rId60">
        <w:r w:rsidDel="00000000" w:rsidR="00000000" w:rsidRPr="00000000">
          <w:rPr>
            <w:rFonts w:ascii="Google Sans" w:cs="Google Sans" w:eastAsia="Google Sans" w:hAnsi="Google Sans"/>
            <w:color w:val="0000ee"/>
            <w:sz w:val="24"/>
            <w:szCs w:val="24"/>
            <w:u w:val="single"/>
            <w:rtl w:val="0"/>
          </w:rPr>
          <w:t xml:space="preserve">https://aclanthology.org/2024.lrec-main.433.pdf</w:t>
        </w:r>
      </w:hyperlink>
      <w:r w:rsidDel="00000000" w:rsidR="00000000" w:rsidRPr="00000000">
        <w:rPr>
          <w:rtl w:val="0"/>
        </w:rPr>
      </w:r>
    </w:p>
    <w:p w:rsidR="00000000" w:rsidDel="00000000" w:rsidP="00000000" w:rsidRDefault="00000000" w:rsidRPr="00000000" w14:paraId="000000C5">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Graph of Goal-Oriented Thoughts: Design and Implementation of LLM Agents - CEUR-WS.org, </w:t>
      </w:r>
      <w:hyperlink r:id="rId61">
        <w:r w:rsidDel="00000000" w:rsidR="00000000" w:rsidRPr="00000000">
          <w:rPr>
            <w:rFonts w:ascii="Google Sans" w:cs="Google Sans" w:eastAsia="Google Sans" w:hAnsi="Google Sans"/>
            <w:color w:val="0000ee"/>
            <w:sz w:val="24"/>
            <w:szCs w:val="24"/>
            <w:u w:val="single"/>
            <w:rtl w:val="0"/>
          </w:rPr>
          <w:t xml:space="preserve">https://ceur-ws.org/Vol-3957/SOCIALIZE-paper02.pdf</w:t>
        </w:r>
      </w:hyperlink>
      <w:r w:rsidDel="00000000" w:rsidR="00000000" w:rsidRPr="00000000">
        <w:rPr>
          <w:rtl w:val="0"/>
        </w:rPr>
      </w:r>
    </w:p>
    <w:p w:rsidR="00000000" w:rsidDel="00000000" w:rsidP="00000000" w:rsidRDefault="00000000" w:rsidRPr="00000000" w14:paraId="000000C6">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Test-Time Adaptive Reasoning Unifying Chain, Tree, and Graph Structures - arXiv, </w:t>
      </w:r>
      <w:hyperlink r:id="rId62">
        <w:r w:rsidDel="00000000" w:rsidR="00000000" w:rsidRPr="00000000">
          <w:rPr>
            <w:rFonts w:ascii="Google Sans" w:cs="Google Sans" w:eastAsia="Google Sans" w:hAnsi="Google Sans"/>
            <w:color w:val="0000ee"/>
            <w:sz w:val="24"/>
            <w:szCs w:val="24"/>
            <w:u w:val="single"/>
            <w:rtl w:val="0"/>
          </w:rPr>
          <w:t xml:space="preserve">https://arxiv.org/html/2502.05078v1</w:t>
        </w:r>
      </w:hyperlink>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590.3999984264374"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590.3999984264374"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3">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4">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sourceforge.net/software/product/iLock-Security-Services/alternatives" TargetMode="External"/><Relationship Id="rId42" Type="http://schemas.openxmlformats.org/officeDocument/2006/relationships/hyperlink" Target="https://www.emergentmind.com/topics/graph-of-thoughts-got" TargetMode="External"/><Relationship Id="rId41" Type="http://schemas.openxmlformats.org/officeDocument/2006/relationships/hyperlink" Target="https://www.veonum.com/en/cat/technique/" TargetMode="External"/><Relationship Id="rId44" Type="http://schemas.openxmlformats.org/officeDocument/2006/relationships/hyperlink" Target="https://arxiv.org/html/2512.16802v1" TargetMode="External"/><Relationship Id="rId43" Type="http://schemas.openxmlformats.org/officeDocument/2006/relationships/hyperlink" Target="https://academic.oup.com/bioinformatics/article/41/2/btaf031/7972741" TargetMode="External"/><Relationship Id="rId46" Type="http://schemas.openxmlformats.org/officeDocument/2006/relationships/hyperlink" Target="https://blog.gramosoft.tech/blog/sql-vs-nosql-which-database-is-right-for-your-business/" TargetMode="External"/><Relationship Id="rId45" Type="http://schemas.openxmlformats.org/officeDocument/2006/relationships/hyperlink" Target="https://ajithp.com/2026/01/11/enterprise-digital-twin-architecture-implementation-guid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48" Type="http://schemas.openxmlformats.org/officeDocument/2006/relationships/hyperlink" Target="https://arxiv.org/html/2511.08274v1" TargetMode="External"/><Relationship Id="rId47" Type="http://schemas.openxmlformats.org/officeDocument/2006/relationships/hyperlink" Target="https://news.ycombinator.com/item?id=34342371" TargetMode="External"/><Relationship Id="rId49" Type="http://schemas.openxmlformats.org/officeDocument/2006/relationships/hyperlink" Target="https://nebula-graph.io/posts/understanding-gql-a-comprehensive-overview-of-the-standard-graph-query-language" TargetMode="External"/><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28.png"/><Relationship Id="rId8" Type="http://schemas.openxmlformats.org/officeDocument/2006/relationships/image" Target="media/image10.png"/><Relationship Id="rId31" Type="http://schemas.openxmlformats.org/officeDocument/2006/relationships/image" Target="media/image2.png"/><Relationship Id="rId30" Type="http://schemas.openxmlformats.org/officeDocument/2006/relationships/image" Target="media/image16.png"/><Relationship Id="rId33" Type="http://schemas.openxmlformats.org/officeDocument/2006/relationships/image" Target="media/image18.png"/><Relationship Id="rId32" Type="http://schemas.openxmlformats.org/officeDocument/2006/relationships/image" Target="media/image25.png"/><Relationship Id="rId35" Type="http://schemas.openxmlformats.org/officeDocument/2006/relationships/image" Target="media/image30.png"/><Relationship Id="rId34" Type="http://schemas.openxmlformats.org/officeDocument/2006/relationships/image" Target="media/image21.png"/><Relationship Id="rId37" Type="http://schemas.openxmlformats.org/officeDocument/2006/relationships/hyperlink" Target="https://en.wikipedia.org/wiki/Graph_Query_Language" TargetMode="External"/><Relationship Id="rId36" Type="http://schemas.openxmlformats.org/officeDocument/2006/relationships/hyperlink" Target="https://www.incits.org/news-events/news-coverage/update-on-the-development-of-database-languagesgql" TargetMode="External"/><Relationship Id="rId39" Type="http://schemas.openxmlformats.org/officeDocument/2006/relationships/hyperlink" Target="https://arxiv.org/html/2601.08620v2" TargetMode="External"/><Relationship Id="rId38" Type="http://schemas.openxmlformats.org/officeDocument/2006/relationships/hyperlink" Target="https://www.lancedb.com/blog/late-interaction-efficient-multi-modal-retrievers-need-more-than-just-a-vector-index" TargetMode="External"/><Relationship Id="rId62" Type="http://schemas.openxmlformats.org/officeDocument/2006/relationships/hyperlink" Target="https://arxiv.org/html/2502.05078v1" TargetMode="External"/><Relationship Id="rId61" Type="http://schemas.openxmlformats.org/officeDocument/2006/relationships/hyperlink" Target="https://ceur-ws.org/Vol-3957/SOCIALIZE-paper02.pdf" TargetMode="External"/><Relationship Id="rId20" Type="http://schemas.openxmlformats.org/officeDocument/2006/relationships/image" Target="media/image23.png"/><Relationship Id="rId22" Type="http://schemas.openxmlformats.org/officeDocument/2006/relationships/image" Target="media/image20.png"/><Relationship Id="rId21" Type="http://schemas.openxmlformats.org/officeDocument/2006/relationships/image" Target="media/image26.png"/><Relationship Id="rId24" Type="http://schemas.openxmlformats.org/officeDocument/2006/relationships/image" Target="media/image15.png"/><Relationship Id="rId23" Type="http://schemas.openxmlformats.org/officeDocument/2006/relationships/image" Target="media/image7.png"/><Relationship Id="rId60" Type="http://schemas.openxmlformats.org/officeDocument/2006/relationships/hyperlink" Target="https://aclanthology.org/2024.lrec-main.433.pdf" TargetMode="External"/><Relationship Id="rId26" Type="http://schemas.openxmlformats.org/officeDocument/2006/relationships/image" Target="media/image13.png"/><Relationship Id="rId25" Type="http://schemas.openxmlformats.org/officeDocument/2006/relationships/image" Target="media/image4.png"/><Relationship Id="rId28" Type="http://schemas.openxmlformats.org/officeDocument/2006/relationships/image" Target="media/image6.png"/><Relationship Id="rId27" Type="http://schemas.openxmlformats.org/officeDocument/2006/relationships/image" Target="media/image12.png"/><Relationship Id="rId29" Type="http://schemas.openxmlformats.org/officeDocument/2006/relationships/image" Target="media/image11.png"/><Relationship Id="rId51" Type="http://schemas.openxmlformats.org/officeDocument/2006/relationships/hyperlink" Target="https://www.scribd.com/document/880750590/553-Graph-Databases" TargetMode="External"/><Relationship Id="rId50" Type="http://schemas.openxmlformats.org/officeDocument/2006/relationships/hyperlink" Target="https://jtc1info.org/wp-content/uploads/2024/04/2024-Article-39075-Database-Language-GQL.docx.pdf" TargetMode="External"/><Relationship Id="rId53" Type="http://schemas.openxmlformats.org/officeDocument/2006/relationships/hyperlink" Target="https://airbyte.com/agentic-data/graph-database" TargetMode="External"/><Relationship Id="rId52" Type="http://schemas.openxmlformats.org/officeDocument/2006/relationships/hyperlink" Target="https://learn.microsoft.com/en-us/fabric/graph/gql-language-guide" TargetMode="External"/><Relationship Id="rId11" Type="http://schemas.openxmlformats.org/officeDocument/2006/relationships/image" Target="media/image14.png"/><Relationship Id="rId55" Type="http://schemas.openxmlformats.org/officeDocument/2006/relationships/hyperlink" Target="https://aclanthology.org/2026.acl-long.755.pdf" TargetMode="External"/><Relationship Id="rId10" Type="http://schemas.openxmlformats.org/officeDocument/2006/relationships/image" Target="media/image3.png"/><Relationship Id="rId54" Type="http://schemas.openxmlformats.org/officeDocument/2006/relationships/hyperlink" Target="https://www.researchgate.net/publication/372910870_VRDU_A_Benchmark_for_Visually-rich_Document_Understanding" TargetMode="External"/><Relationship Id="rId13" Type="http://schemas.openxmlformats.org/officeDocument/2006/relationships/image" Target="media/image27.png"/><Relationship Id="rId57" Type="http://schemas.openxmlformats.org/officeDocument/2006/relationships/hyperlink" Target="https://noise.getoto.net/tag/amazon-cognito/" TargetMode="External"/><Relationship Id="rId12" Type="http://schemas.openxmlformats.org/officeDocument/2006/relationships/image" Target="media/image29.png"/><Relationship Id="rId56" Type="http://schemas.openxmlformats.org/officeDocument/2006/relationships/hyperlink" Target="https://arxiv.org/pdf/2607.04625" TargetMode="External"/><Relationship Id="rId15" Type="http://schemas.openxmlformats.org/officeDocument/2006/relationships/image" Target="media/image24.png"/><Relationship Id="rId59" Type="http://schemas.openxmlformats.org/officeDocument/2006/relationships/hyperlink" Target="https://www.scribd.com/document/668584849/2308-09687" TargetMode="External"/><Relationship Id="rId14" Type="http://schemas.openxmlformats.org/officeDocument/2006/relationships/image" Target="media/image19.png"/><Relationship Id="rId58" Type="http://schemas.openxmlformats.org/officeDocument/2006/relationships/hyperlink" Target="https://slashdot.org/software/p/iLock-Security-Services/alternatives" TargetMode="External"/><Relationship Id="rId17" Type="http://schemas.openxmlformats.org/officeDocument/2006/relationships/image" Target="media/image5.png"/><Relationship Id="rId16" Type="http://schemas.openxmlformats.org/officeDocument/2006/relationships/image" Target="media/image17.png"/><Relationship Id="rId19" Type="http://schemas.openxmlformats.org/officeDocument/2006/relationships/image" Target="media/image9.png"/><Relationship Id="rId18" Type="http://schemas.openxmlformats.org/officeDocument/2006/relationships/image" Target="media/image22.png"/></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